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A6130" w14:textId="681A0A51" w:rsidR="00330A66" w:rsidRDefault="00330A66" w:rsidP="00330A66">
      <w:pPr>
        <w:rPr>
          <w:b/>
          <w:bCs/>
        </w:rPr>
      </w:pPr>
      <w:r>
        <w:rPr>
          <w:b/>
          <w:bCs/>
        </w:rPr>
        <w:t>CLINICAL DECISION SUPPORT</w:t>
      </w:r>
    </w:p>
    <w:p w14:paraId="6DF6542E" w14:textId="07D4AD56" w:rsidR="00330A66" w:rsidRPr="00330A66" w:rsidRDefault="00330A66" w:rsidP="00330A66">
      <w:pPr>
        <w:rPr>
          <w:b/>
          <w:bCs/>
        </w:rPr>
      </w:pPr>
      <w:r w:rsidRPr="00330A66">
        <w:rPr>
          <w:b/>
          <w:bCs/>
        </w:rPr>
        <w:t>1. Outlook</w:t>
      </w:r>
    </w:p>
    <w:p w14:paraId="1E086671" w14:textId="77777777" w:rsidR="00330A66" w:rsidRPr="00330A66" w:rsidRDefault="00330A66" w:rsidP="00330A66">
      <w:pPr>
        <w:rPr>
          <w:b/>
          <w:bCs/>
        </w:rPr>
      </w:pPr>
      <w:r w:rsidRPr="00330A66">
        <w:rPr>
          <w:b/>
          <w:bCs/>
        </w:rPr>
        <w:t>Market definition and comparability</w:t>
      </w:r>
    </w:p>
    <w:p w14:paraId="434ECF19" w14:textId="77777777" w:rsidR="00330A66" w:rsidRPr="00330A66" w:rsidRDefault="00330A66" w:rsidP="00330A66">
      <w:r w:rsidRPr="00330A66">
        <w:t xml:space="preserve">“Clinical decision support” is not consistently defined across market-research publishers. Some estimates include traditional rules-based alerts, medication databases, implementation services and hardware; others cover only AI-enabled software used for diagnosis, treatment planning, monitoring, risk prediction and prescribing support. The estimates below should therefore be treated as </w:t>
      </w:r>
      <w:r w:rsidRPr="00330A66">
        <w:rPr>
          <w:b/>
          <w:bCs/>
        </w:rPr>
        <w:t>separate market lenses, not a directly comparable geographic waterfall</w:t>
      </w:r>
      <w:r w:rsidRPr="00330A6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3909"/>
        <w:gridCol w:w="1350"/>
        <w:gridCol w:w="1547"/>
        <w:gridCol w:w="1017"/>
      </w:tblGrid>
      <w:tr w:rsidR="00330A66" w:rsidRPr="00330A66" w14:paraId="2125347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6BC7F3" w14:textId="77777777" w:rsidR="00330A66" w:rsidRPr="00330A66" w:rsidRDefault="00330A66" w:rsidP="00330A66">
            <w:pPr>
              <w:rPr>
                <w:b/>
                <w:bCs/>
              </w:rPr>
            </w:pPr>
            <w:r w:rsidRPr="00330A66">
              <w:rPr>
                <w:b/>
                <w:bCs/>
              </w:rPr>
              <w:t>Geography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E29542" w14:textId="77777777" w:rsidR="00330A66" w:rsidRPr="00330A66" w:rsidRDefault="00330A66" w:rsidP="00330A66">
            <w:pPr>
              <w:rPr>
                <w:b/>
                <w:bCs/>
              </w:rPr>
            </w:pPr>
            <w:r w:rsidRPr="00330A66">
              <w:rPr>
                <w:b/>
                <w:bCs/>
              </w:rPr>
              <w:t>Market scope used by publisher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84F8F7" w14:textId="77777777" w:rsidR="00330A66" w:rsidRPr="00330A66" w:rsidRDefault="00330A66" w:rsidP="00330A66">
            <w:pPr>
              <w:rPr>
                <w:b/>
                <w:bCs/>
              </w:rPr>
            </w:pPr>
            <w:r w:rsidRPr="00330A66">
              <w:rPr>
                <w:b/>
                <w:bCs/>
              </w:rPr>
              <w:t>Current market size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4FFC76" w14:textId="77777777" w:rsidR="00330A66" w:rsidRPr="00330A66" w:rsidRDefault="00330A66" w:rsidP="00330A66">
            <w:pPr>
              <w:rPr>
                <w:b/>
                <w:bCs/>
              </w:rPr>
            </w:pPr>
            <w:r w:rsidRPr="00330A66">
              <w:rPr>
                <w:b/>
                <w:bCs/>
              </w:rPr>
              <w:t>Forecast market size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9527D1" w14:textId="77777777" w:rsidR="00330A66" w:rsidRPr="00330A66" w:rsidRDefault="00330A66" w:rsidP="00330A66">
            <w:pPr>
              <w:rPr>
                <w:b/>
                <w:bCs/>
              </w:rPr>
            </w:pPr>
            <w:r w:rsidRPr="00330A66">
              <w:rPr>
                <w:b/>
                <w:bCs/>
              </w:rPr>
              <w:t>CAGR and period</w:t>
            </w:r>
          </w:p>
        </w:tc>
      </w:tr>
      <w:tr w:rsidR="00330A66" w:rsidRPr="00330A66" w14:paraId="4FAEDA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59EA1C" w14:textId="77777777" w:rsidR="00330A66" w:rsidRPr="00330A66" w:rsidRDefault="00330A66" w:rsidP="00330A66">
            <w:r w:rsidRPr="00330A66">
              <w:t>Global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76EED8" w14:textId="77777777" w:rsidR="00330A66" w:rsidRPr="00330A66" w:rsidRDefault="00330A66" w:rsidP="00330A66">
            <w:r w:rsidRPr="00330A66">
              <w:t>AI-powered CDS, including software and services across diagnosis, treatment planning, monitoring, alerts, risk prediction, prescribing and personalised medicine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5908F" w14:textId="77777777" w:rsidR="00330A66" w:rsidRPr="00330A66" w:rsidRDefault="00330A66" w:rsidP="00330A66">
            <w:r w:rsidRPr="00330A66">
              <w:t>US$0.87 billion in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77B1B6" w14:textId="77777777" w:rsidR="00330A66" w:rsidRPr="00330A66" w:rsidRDefault="00330A66" w:rsidP="00330A66">
            <w:r w:rsidRPr="00330A66">
              <w:t>US$1.79 billion in 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E98562" w14:textId="77777777" w:rsidR="00330A66" w:rsidRPr="00330A66" w:rsidRDefault="00330A66" w:rsidP="00330A66">
            <w:r w:rsidRPr="00330A66">
              <w:t>15.6%, 2025–2030</w:t>
            </w:r>
          </w:p>
        </w:tc>
      </w:tr>
      <w:tr w:rsidR="00330A66" w:rsidRPr="00330A66" w14:paraId="34E7C8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04B278" w14:textId="77777777" w:rsidR="00330A66" w:rsidRPr="00330A66" w:rsidRDefault="00330A66" w:rsidP="00330A66">
            <w:r w:rsidRPr="00330A66">
              <w:t>Global, broader reference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3F5062" w14:textId="77777777" w:rsidR="00330A66" w:rsidRPr="00330A66" w:rsidRDefault="00330A66" w:rsidP="00330A66">
            <w:r w:rsidRPr="00330A66">
              <w:t>CDSS including therapeutic and diagnostic CDS, medication support, treatment planning and risk prediction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FB6837" w14:textId="77777777" w:rsidR="00330A66" w:rsidRPr="00330A66" w:rsidRDefault="00330A66" w:rsidP="00330A66">
            <w:r w:rsidRPr="00330A66">
              <w:t>US$5.80 billion in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D9E1AF" w14:textId="77777777" w:rsidR="00330A66" w:rsidRPr="00330A66" w:rsidRDefault="00330A66" w:rsidP="00330A66">
            <w:r w:rsidRPr="00330A66">
              <w:t>US$10.15 billion in 2031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B3CDB7" w14:textId="77777777" w:rsidR="00330A66" w:rsidRPr="00330A66" w:rsidRDefault="00330A66" w:rsidP="00330A66">
            <w:r w:rsidRPr="00330A66">
              <w:t>11.8%, 2026–2031</w:t>
            </w:r>
          </w:p>
        </w:tc>
      </w:tr>
      <w:tr w:rsidR="00330A66" w:rsidRPr="00330A66" w14:paraId="6ECCAA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108E0A" w14:textId="77777777" w:rsidR="00330A66" w:rsidRPr="00330A66" w:rsidRDefault="00330A66" w:rsidP="00330A66">
            <w:r w:rsidRPr="00330A66">
              <w: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25D660" w14:textId="77777777" w:rsidR="00330A66" w:rsidRPr="00330A66" w:rsidRDefault="00330A66" w:rsidP="00330A66">
            <w:proofErr w:type="gramStart"/>
            <w:r w:rsidRPr="00330A66">
              <w:t>Broad</w:t>
            </w:r>
            <w:proofErr w:type="gramEnd"/>
            <w:r w:rsidRPr="00330A66">
              <w:t xml:space="preserve"> CDSS market across products, applications, delivery modes and components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9DD1F5" w14:textId="77777777" w:rsidR="00330A66" w:rsidRPr="00330A66" w:rsidRDefault="00330A66" w:rsidP="00330A66">
            <w:r w:rsidRPr="00330A66">
              <w:t>US$663.1 million in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8C5682" w14:textId="77777777" w:rsidR="00330A66" w:rsidRPr="00330A66" w:rsidRDefault="00330A66" w:rsidP="00330A66">
            <w:r w:rsidRPr="00330A66">
              <w:t>US$1,021.1 million in 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DF7D09" w14:textId="77777777" w:rsidR="00330A66" w:rsidRPr="00330A66" w:rsidRDefault="00330A66" w:rsidP="00330A66">
            <w:r w:rsidRPr="00330A66">
              <w:t>9.0%, 2025–2030</w:t>
            </w:r>
          </w:p>
        </w:tc>
      </w:tr>
      <w:tr w:rsidR="00330A66" w:rsidRPr="00330A66" w14:paraId="64C9BC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C3F65E" w14:textId="77777777" w:rsidR="00330A66" w:rsidRPr="00330A66" w:rsidRDefault="00330A66" w:rsidP="00330A66">
            <w:r w:rsidRPr="00330A66">
              <w:t>India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F4765" w14:textId="77777777" w:rsidR="00330A66" w:rsidRPr="00330A66" w:rsidRDefault="00330A66" w:rsidP="00330A66">
            <w:r w:rsidRPr="00330A66">
              <w:t>Broad CDSS market across knowledge-based and machine-learning systems, software and associated delivery models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F2BFF6" w14:textId="77777777" w:rsidR="00330A66" w:rsidRPr="00330A66" w:rsidRDefault="00330A66" w:rsidP="00330A66">
            <w:r w:rsidRPr="00330A66">
              <w:t>US$47.3 million in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BB2B24" w14:textId="77777777" w:rsidR="00330A66" w:rsidRPr="00330A66" w:rsidRDefault="00330A66" w:rsidP="00330A66">
            <w:r w:rsidRPr="00330A66">
              <w:t>US$83.0 million in 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72D7B3" w14:textId="77777777" w:rsidR="00330A66" w:rsidRPr="00330A66" w:rsidRDefault="00330A66" w:rsidP="00330A66">
            <w:r w:rsidRPr="00330A66">
              <w:t>11.9%, 2025–2030</w:t>
            </w:r>
          </w:p>
        </w:tc>
      </w:tr>
      <w:tr w:rsidR="00330A66" w:rsidRPr="00330A66" w14:paraId="0C42D6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5BF476" w14:textId="77777777" w:rsidR="00330A66" w:rsidRPr="00330A66" w:rsidRDefault="00330A66" w:rsidP="00330A66">
            <w:r w:rsidRPr="00330A66">
              <w:t>India, AI-only reference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BE285D" w14:textId="77777777" w:rsidR="00330A66" w:rsidRPr="00330A66" w:rsidRDefault="00330A66" w:rsidP="00330A66">
            <w:r w:rsidRPr="00330A66">
              <w:t>AI specifically in clinical decision support, software and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1F34EE" w14:textId="77777777" w:rsidR="00330A66" w:rsidRPr="00330A66" w:rsidRDefault="00330A66" w:rsidP="00330A66">
            <w:r w:rsidRPr="00330A66">
              <w:t>US$38.7 million in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3E4A53" w14:textId="77777777" w:rsidR="00330A66" w:rsidRPr="00330A66" w:rsidRDefault="00330A66" w:rsidP="00330A66">
            <w:r w:rsidRPr="00330A66">
              <w:t>US$173.3 million in 2033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B65760" w14:textId="77777777" w:rsidR="00330A66" w:rsidRPr="00330A66" w:rsidRDefault="00330A66" w:rsidP="00330A66">
            <w:r w:rsidRPr="00330A66">
              <w:t>20.6%, 2026–2033</w:t>
            </w:r>
          </w:p>
        </w:tc>
      </w:tr>
    </w:tbl>
    <w:p w14:paraId="7B20DBBC" w14:textId="77777777" w:rsidR="00330A66" w:rsidRPr="00330A66" w:rsidRDefault="00330A66" w:rsidP="00330A66">
      <w:r w:rsidRPr="00330A66">
        <w:rPr>
          <w:b/>
          <w:bCs/>
        </w:rPr>
        <w:lastRenderedPageBreak/>
        <w:t>Sources and interpretation</w:t>
      </w:r>
    </w:p>
    <w:p w14:paraId="369AC0BF" w14:textId="77777777" w:rsidR="00330A66" w:rsidRPr="00330A66" w:rsidRDefault="00330A66" w:rsidP="00330A66">
      <w:pPr>
        <w:numPr>
          <w:ilvl w:val="0"/>
          <w:numId w:val="1"/>
        </w:numPr>
      </w:pPr>
      <w:r w:rsidRPr="00330A66">
        <w:t xml:space="preserve">Mordor Intelligence estimates the global </w:t>
      </w:r>
      <w:r w:rsidRPr="00330A66">
        <w:rPr>
          <w:b/>
          <w:bCs/>
        </w:rPr>
        <w:t>AI-powered</w:t>
      </w:r>
      <w:r w:rsidRPr="00330A66">
        <w:t xml:space="preserve"> CDS market at US$0.87 billion in 2025 and US$1.79 billion in 2030, implying a 15.6% CAGR. This is the cleanest estimate for the AI-specific sub-sector. </w:t>
      </w:r>
      <w:hyperlink r:id="rId5" w:history="1">
        <w:r w:rsidRPr="00330A66">
          <w:rPr>
            <w:rStyle w:val="Hyperlink"/>
          </w:rPr>
          <w:t>[mordorinte...igence.com]</w:t>
        </w:r>
      </w:hyperlink>
    </w:p>
    <w:p w14:paraId="69E12631" w14:textId="77777777" w:rsidR="00330A66" w:rsidRPr="00330A66" w:rsidRDefault="00330A66" w:rsidP="00330A66">
      <w:pPr>
        <w:numPr>
          <w:ilvl w:val="0"/>
          <w:numId w:val="1"/>
        </w:numPr>
      </w:pPr>
      <w:r w:rsidRPr="00330A66">
        <w:t xml:space="preserve">MarketsandMarkets estimates the broader global CDSS market at US$5.80 billion in 2026 and US$10.15 billion in 2031, with an 11.8% CAGR. It reports that AI or non-knowledge-based CDSS is expected to grow faster, at 14.1%, but does not disclose the AI segment’s absolute value on the public page. </w:t>
      </w:r>
      <w:hyperlink r:id="rId6" w:history="1">
        <w:r w:rsidRPr="00330A66">
          <w:rPr>
            <w:rStyle w:val="Hyperlink"/>
          </w:rPr>
          <w:t>[marketsand...arkets.com]</w:t>
        </w:r>
      </w:hyperlink>
    </w:p>
    <w:p w14:paraId="7D831896" w14:textId="77777777" w:rsidR="00330A66" w:rsidRPr="00330A66" w:rsidRDefault="00330A66" w:rsidP="00330A66">
      <w:pPr>
        <w:numPr>
          <w:ilvl w:val="0"/>
          <w:numId w:val="1"/>
        </w:numPr>
      </w:pPr>
      <w:r w:rsidRPr="00330A66">
        <w:t xml:space="preserve">MarketsandMarkets </w:t>
      </w:r>
      <w:proofErr w:type="gramStart"/>
      <w:r w:rsidRPr="00330A66">
        <w:t>estimates</w:t>
      </w:r>
      <w:proofErr w:type="gramEnd"/>
      <w:r w:rsidRPr="00330A66">
        <w:t xml:space="preserve"> the US CDSS market at US$663.1 million in 2025 and US$1,021.1 million in 2030, with a 9.0% CAGR. </w:t>
      </w:r>
      <w:hyperlink r:id="rId7" w:history="1">
        <w:r w:rsidRPr="00330A66">
          <w:rPr>
            <w:rStyle w:val="Hyperlink"/>
          </w:rPr>
          <w:t>[marketsand...arkets.com]</w:t>
        </w:r>
      </w:hyperlink>
    </w:p>
    <w:p w14:paraId="29533D30" w14:textId="77777777" w:rsidR="00330A66" w:rsidRPr="00330A66" w:rsidRDefault="00330A66" w:rsidP="00330A66">
      <w:pPr>
        <w:numPr>
          <w:ilvl w:val="0"/>
          <w:numId w:val="1"/>
        </w:numPr>
      </w:pPr>
      <w:r w:rsidRPr="00330A66">
        <w:t xml:space="preserve">MarketsandMarkets estimates the India CDSS market at US$47.3 million in 2025 and US$83.0 million in 2030, with an 11.9% CAGR. </w:t>
      </w:r>
      <w:hyperlink r:id="rId8" w:history="1">
        <w:r w:rsidRPr="00330A66">
          <w:rPr>
            <w:rStyle w:val="Hyperlink"/>
          </w:rPr>
          <w:t>[marketsand...arkets.com]</w:t>
        </w:r>
      </w:hyperlink>
    </w:p>
    <w:p w14:paraId="795F164D" w14:textId="77777777" w:rsidR="00330A66" w:rsidRPr="00330A66" w:rsidRDefault="00330A66" w:rsidP="00330A66">
      <w:pPr>
        <w:numPr>
          <w:ilvl w:val="0"/>
          <w:numId w:val="1"/>
        </w:numPr>
      </w:pPr>
      <w:r w:rsidRPr="00330A66">
        <w:t xml:space="preserve">Grand View Research estimates India’s </w:t>
      </w:r>
      <w:r w:rsidRPr="00330A66">
        <w:rPr>
          <w:b/>
          <w:bCs/>
        </w:rPr>
        <w:t>AI-only</w:t>
      </w:r>
      <w:r w:rsidRPr="00330A66">
        <w:t xml:space="preserve"> CDS market at US$38.7 million in 2025, US$46.7 million in 2026 and US$173.3 million in 2033, with a 20.6% CAGR for 2026–2033. </w:t>
      </w:r>
      <w:hyperlink r:id="rId9" w:history="1">
        <w:r w:rsidRPr="00330A66">
          <w:rPr>
            <w:rStyle w:val="Hyperlink"/>
          </w:rPr>
          <w:t>[grandviewr...search.com]</w:t>
        </w:r>
      </w:hyperlink>
    </w:p>
    <w:p w14:paraId="4FE78D32" w14:textId="77777777" w:rsidR="00330A66" w:rsidRPr="00330A66" w:rsidRDefault="00330A66" w:rsidP="00330A66">
      <w:pPr>
        <w:rPr>
          <w:b/>
          <w:bCs/>
        </w:rPr>
      </w:pPr>
      <w:r w:rsidRPr="00330A66">
        <w:rPr>
          <w:b/>
          <w:bCs/>
        </w:rPr>
        <w:t>Important confidence flag</w:t>
      </w:r>
    </w:p>
    <w:p w14:paraId="01208F82" w14:textId="77777777" w:rsidR="00330A66" w:rsidRPr="00330A66" w:rsidRDefault="00330A66" w:rsidP="00330A66">
      <w:r w:rsidRPr="00330A66">
        <w:t xml:space="preserve">There is unusually wide disagreement among publishers. For example, Grand View Research values the broad US CDSS market at US$2.14 billion in 2024 and US$3.40 billion in 2030, materially above the MarketsandMarkets estimate. The divergence appears to reflect differences in component, service and product inclusion, but the public methodologies do not provide enough detail to reconcile the figures precisely. </w:t>
      </w:r>
      <w:hyperlink r:id="rId10" w:history="1">
        <w:r w:rsidRPr="00330A66">
          <w:rPr>
            <w:rStyle w:val="Hyperlink"/>
          </w:rPr>
          <w:t>[grandviewr...search.com]</w:t>
        </w:r>
      </w:hyperlink>
      <w:r w:rsidRPr="00330A66">
        <w:t xml:space="preserve">, </w:t>
      </w:r>
      <w:hyperlink r:id="rId11" w:history="1">
        <w:r w:rsidRPr="00330A66">
          <w:rPr>
            <w:rStyle w:val="Hyperlink"/>
          </w:rPr>
          <w:t>[marketsand...arkets.com]</w:t>
        </w:r>
      </w:hyperlink>
    </w:p>
    <w:p w14:paraId="592E279F" w14:textId="77777777" w:rsidR="00330A66" w:rsidRPr="00330A66" w:rsidRDefault="00330A66" w:rsidP="00330A66">
      <w:r w:rsidRPr="00330A66">
        <w:rPr>
          <w:b/>
          <w:bCs/>
        </w:rPr>
        <w:t>Investment takeaway:</w:t>
      </w:r>
      <w:r w:rsidRPr="00330A66">
        <w:t xml:space="preserve"> AI-powered CDS is growing faster than the broader rules-based CDSS market, while India’s AI-specific forecast is materially faster than its broad CDSS forecast. However, the absolute India revenue pool remains small relative to the US, and India deployments may generate public-health impact without US-equivalent software pricing.</w:t>
      </w:r>
    </w:p>
    <w:p w14:paraId="5AB2DDD8" w14:textId="77777777" w:rsidR="00330A66" w:rsidRPr="00330A66" w:rsidRDefault="00330A66" w:rsidP="00330A66">
      <w:pPr>
        <w:rPr>
          <w:b/>
          <w:bCs/>
        </w:rPr>
      </w:pPr>
      <w:r w:rsidRPr="00330A66">
        <w:rPr>
          <w:b/>
          <w:bCs/>
        </w:rPr>
        <w:t>2. AI Maturity</w:t>
      </w:r>
    </w:p>
    <w:p w14:paraId="1AF5A008" w14:textId="77777777" w:rsidR="00330A66" w:rsidRPr="00330A66" w:rsidRDefault="00330A66" w:rsidP="00330A66">
      <w:pPr>
        <w:rPr>
          <w:b/>
          <w:bCs/>
        </w:rPr>
      </w:pPr>
      <w:r w:rsidRPr="00330A66">
        <w:rPr>
          <w:b/>
          <w:bCs/>
        </w:rPr>
        <w:t>Overall maturity: proven in selected workflows, but not uniformly proven across general clinical decision-making</w:t>
      </w:r>
    </w:p>
    <w:p w14:paraId="5C091059" w14:textId="77777777" w:rsidR="00330A66" w:rsidRPr="00330A66" w:rsidRDefault="00330A66" w:rsidP="00330A66">
      <w:r w:rsidRPr="00330A66">
        <w:t xml:space="preserve">The segment is best described as </w:t>
      </w:r>
      <w:r w:rsidRPr="00330A66">
        <w:rPr>
          <w:b/>
          <w:bCs/>
        </w:rPr>
        <w:t>commercially proven at scale in narrow, high-volume workflows</w:t>
      </w:r>
      <w:r w:rsidRPr="00330A66">
        <w:t xml:space="preserve">, particularly radiology triage, medication safety, evidence retrieval and disease-specific screening. It remains </w:t>
      </w:r>
      <w:r w:rsidRPr="00330A66">
        <w:rPr>
          <w:b/>
          <w:bCs/>
        </w:rPr>
        <w:t xml:space="preserve">pilot-heavy or validation-heavy for autonomous </w:t>
      </w:r>
      <w:r w:rsidRPr="00330A66">
        <w:rPr>
          <w:b/>
          <w:bCs/>
        </w:rPr>
        <w:lastRenderedPageBreak/>
        <w:t>differential diagnosis, general-purpose generative recommendations and continuously learning models</w:t>
      </w:r>
      <w:r w:rsidRPr="00330A66">
        <w:t>.</w:t>
      </w:r>
    </w:p>
    <w:p w14:paraId="62C4FE12" w14:textId="77777777" w:rsidR="00330A66" w:rsidRPr="00330A66" w:rsidRDefault="00330A66" w:rsidP="00330A66">
      <w:pPr>
        <w:rPr>
          <w:b/>
          <w:bCs/>
        </w:rPr>
      </w:pPr>
      <w:r w:rsidRPr="00330A66">
        <w:rPr>
          <w:b/>
          <w:bCs/>
        </w:rPr>
        <w:t>Evidence of regulatory maturity</w:t>
      </w:r>
    </w:p>
    <w:p w14:paraId="3A53ED47" w14:textId="77777777" w:rsidR="00330A66" w:rsidRPr="00330A66" w:rsidRDefault="00330A66" w:rsidP="00330A66">
      <w:pPr>
        <w:numPr>
          <w:ilvl w:val="0"/>
          <w:numId w:val="2"/>
        </w:numPr>
      </w:pPr>
      <w:r w:rsidRPr="00330A66">
        <w:t xml:space="preserve">As of the FDA’s January 2025 announcement, the agency had authorised </w:t>
      </w:r>
      <w:r w:rsidRPr="00330A66">
        <w:rPr>
          <w:b/>
          <w:bCs/>
        </w:rPr>
        <w:t>more than 1,000 AI-enabled medical devices</w:t>
      </w:r>
      <w:r w:rsidRPr="00330A66">
        <w:t xml:space="preserve"> through established premarket pathways. This number covers all AI-enabled devices, not only CDS, and is heavily weighted toward imaging. It should not be presented as the number of CDS approvals. </w:t>
      </w:r>
      <w:hyperlink r:id="rId12" w:history="1">
        <w:r w:rsidRPr="00330A66">
          <w:rPr>
            <w:rStyle w:val="Hyperlink"/>
          </w:rPr>
          <w:t>[fda.gov]</w:t>
        </w:r>
      </w:hyperlink>
    </w:p>
    <w:p w14:paraId="40C2967B" w14:textId="77777777" w:rsidR="00330A66" w:rsidRPr="00330A66" w:rsidRDefault="00330A66" w:rsidP="00330A66">
      <w:pPr>
        <w:numPr>
          <w:ilvl w:val="0"/>
          <w:numId w:val="2"/>
        </w:numPr>
      </w:pPr>
      <w:r w:rsidRPr="00330A66">
        <w:t xml:space="preserve">The FDA maintains an AI-enabled device </w:t>
      </w:r>
      <w:proofErr w:type="gramStart"/>
      <w:r w:rsidRPr="00330A66">
        <w:t>list, but</w:t>
      </w:r>
      <w:proofErr w:type="gramEnd"/>
      <w:r w:rsidRPr="00330A66">
        <w:t xml:space="preserve"> explicitly states that the list is not comprehensive because identification depends primarily on AI-related wording in public authorisation documents. Therefore, an exact FDA-wide count of “AI-CDS clearances” cannot be determined reliably from the list alone. </w:t>
      </w:r>
      <w:hyperlink r:id="rId13" w:history="1">
        <w:r w:rsidRPr="00330A66">
          <w:rPr>
            <w:rStyle w:val="Hyperlink"/>
          </w:rPr>
          <w:t>[fda.gov]</w:t>
        </w:r>
      </w:hyperlink>
    </w:p>
    <w:p w14:paraId="0413D6C9" w14:textId="77777777" w:rsidR="00330A66" w:rsidRPr="00330A66" w:rsidRDefault="00330A66" w:rsidP="00330A66">
      <w:pPr>
        <w:numPr>
          <w:ilvl w:val="0"/>
          <w:numId w:val="2"/>
        </w:numPr>
      </w:pPr>
      <w:r w:rsidRPr="00330A66">
        <w:t xml:space="preserve">Qure.ai reported 18 FDA-cleared indications as of September 2024. </w:t>
      </w:r>
      <w:hyperlink r:id="rId14" w:history="1">
        <w:r w:rsidRPr="00330A66">
          <w:rPr>
            <w:rStyle w:val="Hyperlink"/>
          </w:rPr>
          <w:t>[qure.ai]</w:t>
        </w:r>
      </w:hyperlink>
    </w:p>
    <w:p w14:paraId="0823984B" w14:textId="77777777" w:rsidR="00330A66" w:rsidRPr="00330A66" w:rsidRDefault="00330A66" w:rsidP="00330A66">
      <w:pPr>
        <w:numPr>
          <w:ilvl w:val="0"/>
          <w:numId w:val="2"/>
        </w:numPr>
      </w:pPr>
      <w:r w:rsidRPr="00330A66">
        <w:t xml:space="preserve">Aidoc reported 15 FDA-cleared algorithms in its 2022 financing materials; by July 2025, two additional solutions built on its CARE foundation model had received FDA clearance. Because these disclosures use different product terminology, they should not automatically be added together as a current total. </w:t>
      </w:r>
      <w:hyperlink r:id="rId15" w:history="1">
        <w:r w:rsidRPr="00330A66">
          <w:rPr>
            <w:rStyle w:val="Hyperlink"/>
          </w:rPr>
          <w:t>[tcv.com]</w:t>
        </w:r>
      </w:hyperlink>
      <w:r w:rsidRPr="00330A66">
        <w:t xml:space="preserve">, </w:t>
      </w:r>
      <w:hyperlink r:id="rId16" w:history="1">
        <w:r w:rsidRPr="00330A66">
          <w:rPr>
            <w:rStyle w:val="Hyperlink"/>
          </w:rPr>
          <w:t>[aidoc.com]</w:t>
        </w:r>
      </w:hyperlink>
    </w:p>
    <w:p w14:paraId="58961C5C" w14:textId="77777777" w:rsidR="00330A66" w:rsidRPr="00330A66" w:rsidRDefault="00330A66" w:rsidP="00330A66">
      <w:pPr>
        <w:numPr>
          <w:ilvl w:val="0"/>
          <w:numId w:val="2"/>
        </w:numPr>
      </w:pPr>
      <w:r w:rsidRPr="00330A66">
        <w:t xml:space="preserve">A comparable consolidated count of CDSCO-cleared AI-CDS products in India was not found in publicly accessible official sources. </w:t>
      </w:r>
      <w:r w:rsidRPr="00330A66">
        <w:rPr>
          <w:b/>
          <w:bCs/>
        </w:rPr>
        <w:t>Confidence flag:</w:t>
      </w:r>
      <w:r w:rsidRPr="00330A66">
        <w:t xml:space="preserve"> any precise India clearance count would be unreliable without manually reviewing the CDSCO licence databases product by product.</w:t>
      </w:r>
    </w:p>
    <w:p w14:paraId="11CAC839" w14:textId="77777777" w:rsidR="00330A66" w:rsidRPr="00330A66" w:rsidRDefault="00330A66" w:rsidP="00330A66">
      <w:pPr>
        <w:rPr>
          <w:b/>
          <w:bCs/>
        </w:rPr>
      </w:pPr>
      <w:r w:rsidRPr="00330A66">
        <w:rPr>
          <w:b/>
          <w:bCs/>
        </w:rPr>
        <w:t>Evidence of production deployment</w:t>
      </w:r>
    </w:p>
    <w:p w14:paraId="2B6FDB2B" w14:textId="77777777" w:rsidR="00330A66" w:rsidRPr="00330A66" w:rsidRDefault="00330A66" w:rsidP="00330A66">
      <w:pPr>
        <w:numPr>
          <w:ilvl w:val="0"/>
          <w:numId w:val="3"/>
        </w:numPr>
      </w:pPr>
      <w:r w:rsidRPr="00330A66">
        <w:t xml:space="preserve">Aidoc reported that its platform supported more than 45 million patients annually across more than 150 health systems as of July 2025. It also disclosed enterprise-wide rollouts at Advocate Health and Sutter Health. </w:t>
      </w:r>
      <w:hyperlink r:id="rId17" w:history="1">
        <w:r w:rsidRPr="00330A66">
          <w:rPr>
            <w:rStyle w:val="Hyperlink"/>
          </w:rPr>
          <w:t>[aidoc.com]</w:t>
        </w:r>
      </w:hyperlink>
    </w:p>
    <w:p w14:paraId="7D37DDC1" w14:textId="77777777" w:rsidR="00330A66" w:rsidRPr="00330A66" w:rsidRDefault="00330A66" w:rsidP="00330A66">
      <w:pPr>
        <w:numPr>
          <w:ilvl w:val="0"/>
          <w:numId w:val="3"/>
        </w:numPr>
      </w:pPr>
      <w:r w:rsidRPr="00330A66">
        <w:t xml:space="preserve">Qure.ai reported deployments across more than 3,000 sites in over 90 countries as of September 2024. A later company presentation states 40 million-plus lives reached across 106 </w:t>
      </w:r>
      <w:proofErr w:type="gramStart"/>
      <w:r w:rsidRPr="00330A66">
        <w:t>countries, but</w:t>
      </w:r>
      <w:proofErr w:type="gramEnd"/>
      <w:r w:rsidRPr="00330A66">
        <w:t xml:space="preserve"> does not disclose how many sites were continuously live in production at that later date. </w:t>
      </w:r>
      <w:hyperlink r:id="rId18" w:history="1">
        <w:r w:rsidRPr="00330A66">
          <w:rPr>
            <w:rStyle w:val="Hyperlink"/>
          </w:rPr>
          <w:t>[qure.ai]</w:t>
        </w:r>
      </w:hyperlink>
      <w:r w:rsidRPr="00330A66">
        <w:t xml:space="preserve">, </w:t>
      </w:r>
      <w:hyperlink r:id="rId19" w:history="1">
        <w:r w:rsidRPr="00330A66">
          <w:rPr>
            <w:rStyle w:val="Hyperlink"/>
          </w:rPr>
          <w:t>[indiaai.qure.ai]</w:t>
        </w:r>
      </w:hyperlink>
    </w:p>
    <w:p w14:paraId="63432CD9" w14:textId="77777777" w:rsidR="00330A66" w:rsidRPr="00330A66" w:rsidRDefault="00330A66" w:rsidP="00330A66">
      <w:pPr>
        <w:numPr>
          <w:ilvl w:val="0"/>
          <w:numId w:val="3"/>
        </w:numPr>
      </w:pPr>
      <w:r w:rsidRPr="00330A66">
        <w:t xml:space="preserve">In India, Qure.ai reported routine or statewide deployments in Maharashtra, Karnataka, Goa and Punjab. The disclosed outcomes include more than 100,000 chest X-rays screened in Goa and more than 6,400 incidental TB cases detected in </w:t>
      </w:r>
      <w:r w:rsidRPr="00330A66">
        <w:lastRenderedPageBreak/>
        <w:t xml:space="preserve">Karnataka. These figures are company-reported rather than independently audited. </w:t>
      </w:r>
      <w:hyperlink r:id="rId20" w:history="1">
        <w:r w:rsidRPr="00330A66">
          <w:rPr>
            <w:rStyle w:val="Hyperlink"/>
          </w:rPr>
          <w:t>[qure.ai]</w:t>
        </w:r>
      </w:hyperlink>
    </w:p>
    <w:p w14:paraId="231C64DD" w14:textId="77777777" w:rsidR="00330A66" w:rsidRPr="00330A66" w:rsidRDefault="00330A66" w:rsidP="00330A66">
      <w:pPr>
        <w:numPr>
          <w:ilvl w:val="0"/>
          <w:numId w:val="3"/>
        </w:numPr>
      </w:pPr>
      <w:r w:rsidRPr="00330A66">
        <w:t xml:space="preserve">IllumiCare, acquired by Premier, was reportedly used by more than 82,000 providers and interoperable with more than 50 EMR systems as of June 2025. </w:t>
      </w:r>
      <w:hyperlink r:id="rId21" w:history="1">
        <w:r w:rsidRPr="00330A66">
          <w:rPr>
            <w:rStyle w:val="Hyperlink"/>
          </w:rPr>
          <w:t>[premierinc.com]</w:t>
        </w:r>
      </w:hyperlink>
    </w:p>
    <w:p w14:paraId="13563892" w14:textId="77777777" w:rsidR="00330A66" w:rsidRPr="00330A66" w:rsidRDefault="00330A66" w:rsidP="00330A66">
      <w:pPr>
        <w:numPr>
          <w:ilvl w:val="0"/>
          <w:numId w:val="3"/>
        </w:numPr>
      </w:pPr>
      <w:r w:rsidRPr="00330A66">
        <w:t xml:space="preserve">athenahealth supports more than 140,000 ambulatory providers across all US states and more than 120 specialties. CDS is embedded within a broader EHR and practice-management platform, so this figure is platform reach rather than verified active use of every CDS function. </w:t>
      </w:r>
      <w:hyperlink r:id="rId22" w:history="1">
        <w:r w:rsidRPr="00330A66">
          <w:rPr>
            <w:rStyle w:val="Hyperlink"/>
          </w:rPr>
          <w:t>[athenahealth.com]</w:t>
        </w:r>
      </w:hyperlink>
    </w:p>
    <w:p w14:paraId="6DC4FB0C" w14:textId="77777777" w:rsidR="00330A66" w:rsidRPr="00330A66" w:rsidRDefault="00330A66" w:rsidP="00330A66">
      <w:pPr>
        <w:numPr>
          <w:ilvl w:val="0"/>
          <w:numId w:val="3"/>
        </w:numPr>
      </w:pPr>
      <w:r w:rsidRPr="00330A66">
        <w:t xml:space="preserve">Wolters Kluwer stated in March 2024 that its UpToDate Enterprise Edition was already in use at more than 100 healthcare organisations. </w:t>
      </w:r>
      <w:hyperlink r:id="rId23" w:history="1">
        <w:r w:rsidRPr="00330A66">
          <w:rPr>
            <w:rStyle w:val="Hyperlink"/>
          </w:rPr>
          <w:t>[wolterskluwer.com]</w:t>
        </w:r>
      </w:hyperlink>
    </w:p>
    <w:p w14:paraId="38DFFC89" w14:textId="77777777" w:rsidR="00330A66" w:rsidRPr="00330A66" w:rsidRDefault="00330A66" w:rsidP="00330A66">
      <w:pPr>
        <w:rPr>
          <w:b/>
          <w:bCs/>
        </w:rPr>
      </w:pPr>
      <w:r w:rsidRPr="00330A66">
        <w:rPr>
          <w:b/>
          <w:bCs/>
        </w:rPr>
        <w:t>Maturity conclusion</w:t>
      </w:r>
    </w:p>
    <w:p w14:paraId="03E7F34F" w14:textId="77777777" w:rsidR="00330A66" w:rsidRPr="00330A66" w:rsidRDefault="00330A66" w:rsidP="00330A66">
      <w:r w:rsidRPr="00330A66">
        <w:t>Regulatory clearance and multi-health-system deployment show that CDS is not merely an experimental category. Nevertheless, maturity is highly use-case dependent:</w:t>
      </w:r>
    </w:p>
    <w:p w14:paraId="746DC183" w14:textId="77777777" w:rsidR="00330A66" w:rsidRPr="00330A66" w:rsidRDefault="00330A66" w:rsidP="00330A66">
      <w:pPr>
        <w:numPr>
          <w:ilvl w:val="0"/>
          <w:numId w:val="4"/>
        </w:numPr>
      </w:pPr>
      <w:r w:rsidRPr="00330A66">
        <w:rPr>
          <w:b/>
          <w:bCs/>
        </w:rPr>
        <w:t>Proven at scale:</w:t>
      </w:r>
      <w:r w:rsidRPr="00330A66">
        <w:t xml:space="preserve"> image prioritisation and triage, radiology findings, medication interaction checking, guideline retrieval and cost/value alerts.</w:t>
      </w:r>
    </w:p>
    <w:p w14:paraId="31A5B80D" w14:textId="77777777" w:rsidR="00330A66" w:rsidRPr="00330A66" w:rsidRDefault="00330A66" w:rsidP="00330A66">
      <w:pPr>
        <w:numPr>
          <w:ilvl w:val="0"/>
          <w:numId w:val="4"/>
        </w:numPr>
      </w:pPr>
      <w:r w:rsidRPr="00330A66">
        <w:rPr>
          <w:b/>
          <w:bCs/>
        </w:rPr>
        <w:t>Scaling but still uneven:</w:t>
      </w:r>
      <w:r w:rsidRPr="00330A66">
        <w:t xml:space="preserve"> care-pathway coordination, deterioration prediction and multimodal decision support.</w:t>
      </w:r>
    </w:p>
    <w:p w14:paraId="3D928F22" w14:textId="77777777" w:rsidR="00330A66" w:rsidRPr="00330A66" w:rsidRDefault="00330A66" w:rsidP="00330A66">
      <w:pPr>
        <w:numPr>
          <w:ilvl w:val="0"/>
          <w:numId w:val="4"/>
        </w:numPr>
      </w:pPr>
      <w:r w:rsidRPr="00330A66">
        <w:rPr>
          <w:b/>
          <w:bCs/>
        </w:rPr>
        <w:t>Early-stage:</w:t>
      </w:r>
      <w:r w:rsidRPr="00330A66">
        <w:t xml:space="preserve"> open-ended generative diagnosis, autonomous treatment recommendation and self-updating models operating without tightly </w:t>
      </w:r>
      <w:proofErr w:type="gramStart"/>
      <w:r w:rsidRPr="00330A66">
        <w:t>bounded</w:t>
      </w:r>
      <w:proofErr w:type="gramEnd"/>
      <w:r w:rsidRPr="00330A66">
        <w:t xml:space="preserve"> intended use.</w:t>
      </w:r>
    </w:p>
    <w:p w14:paraId="3A89DEF9" w14:textId="77777777" w:rsidR="00330A66" w:rsidRPr="00330A66" w:rsidRDefault="00330A66" w:rsidP="00330A66">
      <w:pPr>
        <w:rPr>
          <w:b/>
          <w:bCs/>
        </w:rPr>
      </w:pPr>
      <w:r w:rsidRPr="00330A66">
        <w:rPr>
          <w:b/>
          <w:bCs/>
        </w:rPr>
        <w:t>3. Key Players</w:t>
      </w:r>
    </w:p>
    <w:p w14:paraId="563BC535" w14:textId="77777777" w:rsidR="00330A66" w:rsidRPr="00330A66" w:rsidRDefault="00330A66" w:rsidP="00330A66">
      <w:pPr>
        <w:rPr>
          <w:b/>
          <w:bCs/>
        </w:rPr>
      </w:pPr>
      <w:r w:rsidRPr="00330A66">
        <w:rPr>
          <w:b/>
          <w:bCs/>
        </w:rPr>
        <w:t>Aidoc</w:t>
      </w:r>
    </w:p>
    <w:p w14:paraId="4E09586C" w14:textId="77777777" w:rsidR="00330A66" w:rsidRPr="00330A66" w:rsidRDefault="00330A66" w:rsidP="00330A66">
      <w:r w:rsidRPr="00330A66">
        <w:t xml:space="preserve">provides an enterprise clinical-AI platform that analyses imaging and related clinical data, flags suspected acute findings, prioritises cases and connects radiologists with multidisciplinary care teams. Its aiOS layer is positioned as an infrastructure and governance platform through which hospitals can deploy both Aidoc and third-party algorithms. Its CARE model is intended to extend decision support beyond individual radiology algorithms into broader clinical reasoning, although only bounded CARE-powered applications with regulatory clearance should be treated as commercial medical devices. </w:t>
      </w:r>
      <w:hyperlink r:id="rId24" w:history="1">
        <w:r w:rsidRPr="00330A66">
          <w:rPr>
            <w:rStyle w:val="Hyperlink"/>
          </w:rPr>
          <w:t>[aidoc.com]</w:t>
        </w:r>
      </w:hyperlink>
      <w:r w:rsidRPr="00330A66">
        <w:t xml:space="preserve">, </w:t>
      </w:r>
      <w:hyperlink r:id="rId25" w:history="1">
        <w:r w:rsidRPr="00330A66">
          <w:rPr>
            <w:rStyle w:val="Hyperlink"/>
          </w:rPr>
          <w:t>[tcv.com]</w:t>
        </w:r>
      </w:hyperlink>
    </w:p>
    <w:p w14:paraId="5791FCBA" w14:textId="77777777" w:rsidR="00330A66" w:rsidRPr="00330A66" w:rsidRDefault="00330A66" w:rsidP="00330A66">
      <w:r w:rsidRPr="00330A66">
        <w:rPr>
          <w:b/>
          <w:bCs/>
        </w:rPr>
        <w:lastRenderedPageBreak/>
        <w:t>Scale and ownership:</w:t>
      </w:r>
      <w:r w:rsidRPr="00330A66">
        <w:t xml:space="preserve"> The company </w:t>
      </w:r>
      <w:proofErr w:type="gramStart"/>
      <w:r w:rsidRPr="00330A66">
        <w:t>reported</w:t>
      </w:r>
      <w:proofErr w:type="gramEnd"/>
      <w:r w:rsidRPr="00330A66">
        <w:t xml:space="preserve"> more than 45 million patients supported annually across over 150 health systems in July 2025. A US$150 million financing, including a US$40 million revolving credit facility, brought total disclosed financing to US$370 million. The round was led by General Catalyst and Square Peg, with participation from NVentures and four US health systems. Aidoc is private and growth/</w:t>
      </w:r>
      <w:proofErr w:type="gramStart"/>
      <w:r w:rsidRPr="00330A66">
        <w:t>venture-backed</w:t>
      </w:r>
      <w:proofErr w:type="gramEnd"/>
      <w:r w:rsidRPr="00330A66">
        <w:t xml:space="preserve">. </w:t>
      </w:r>
      <w:hyperlink r:id="rId26" w:history="1">
        <w:r w:rsidRPr="00330A66">
          <w:rPr>
            <w:rStyle w:val="Hyperlink"/>
          </w:rPr>
          <w:t>[aidoc.com]</w:t>
        </w:r>
      </w:hyperlink>
    </w:p>
    <w:p w14:paraId="16994F14" w14:textId="77777777" w:rsidR="00330A66" w:rsidRPr="00330A66" w:rsidRDefault="00330A66" w:rsidP="00330A66">
      <w:pPr>
        <w:rPr>
          <w:b/>
          <w:bCs/>
        </w:rPr>
      </w:pPr>
      <w:r w:rsidRPr="00330A66">
        <w:rPr>
          <w:b/>
          <w:bCs/>
        </w:rPr>
        <w:t>Qure.ai</w:t>
      </w:r>
    </w:p>
    <w:p w14:paraId="127B6E23" w14:textId="77777777" w:rsidR="00330A66" w:rsidRPr="00330A66" w:rsidRDefault="00330A66" w:rsidP="00330A66">
      <w:r w:rsidRPr="00330A66">
        <w:t xml:space="preserve">&lt;Qure.ai&gt; develops deep-learning software that analyses chest X-rays and CT scans for conditions including tuberculosis, lung cancer, stroke and traumatic brain injury. Its products support detection, quantification, triage, reporting assistance and care coordination, making the company more clinically focused than a general hospital analytics vendor. Its India relevance is unusually strong because it has been deployed in state public-health and screening programmes as well as commercial radiology settings. </w:t>
      </w:r>
      <w:hyperlink r:id="rId27" w:history="1">
        <w:r w:rsidRPr="00330A66">
          <w:rPr>
            <w:rStyle w:val="Hyperlink"/>
          </w:rPr>
          <w:t>[pitchbook.com]</w:t>
        </w:r>
      </w:hyperlink>
      <w:r w:rsidRPr="00330A66">
        <w:t xml:space="preserve">, </w:t>
      </w:r>
      <w:hyperlink r:id="rId28" w:history="1">
        <w:r w:rsidRPr="00330A66">
          <w:rPr>
            <w:rStyle w:val="Hyperlink"/>
          </w:rPr>
          <w:t>[qure.ai]</w:t>
        </w:r>
      </w:hyperlink>
    </w:p>
    <w:p w14:paraId="243CED36" w14:textId="77777777" w:rsidR="00330A66" w:rsidRPr="00330A66" w:rsidRDefault="00330A66" w:rsidP="00330A66">
      <w:r w:rsidRPr="00330A66">
        <w:rPr>
          <w:b/>
          <w:bCs/>
        </w:rPr>
        <w:t>Scale and ownership:</w:t>
      </w:r>
      <w:r w:rsidRPr="00330A66">
        <w:t xml:space="preserve"> As of September 2024, Qure.ai disclosed more than 3,000 deployment sites across over 90 countries and 18 FDA-cleared indications. Its US$65 million Series D was led by Lightspeed and 360 ONE Asset, with participation from Merck Global Health Innovation Fund, Kae Capital, Novo Holdings, HealthQuad and TeamFund. The company is private and VC/</w:t>
      </w:r>
      <w:proofErr w:type="gramStart"/>
      <w:r w:rsidRPr="00330A66">
        <w:t>growth-backed</w:t>
      </w:r>
      <w:proofErr w:type="gramEnd"/>
      <w:r w:rsidRPr="00330A66">
        <w:t xml:space="preserve">. </w:t>
      </w:r>
      <w:hyperlink r:id="rId29" w:history="1">
        <w:r w:rsidRPr="00330A66">
          <w:rPr>
            <w:rStyle w:val="Hyperlink"/>
          </w:rPr>
          <w:t>[qure.ai]</w:t>
        </w:r>
      </w:hyperlink>
    </w:p>
    <w:p w14:paraId="506508CF" w14:textId="77777777" w:rsidR="00330A66" w:rsidRPr="00330A66" w:rsidRDefault="00330A66" w:rsidP="00330A66">
      <w:r w:rsidRPr="00330A66">
        <w:rPr>
          <w:b/>
          <w:bCs/>
        </w:rPr>
        <w:t>Confidence flag:</w:t>
      </w:r>
      <w:r w:rsidRPr="00330A66">
        <w:t xml:space="preserve"> third-party databases report different </w:t>
      </w:r>
      <w:proofErr w:type="gramStart"/>
      <w:r w:rsidRPr="00330A66">
        <w:t>total-funding</w:t>
      </w:r>
      <w:proofErr w:type="gramEnd"/>
      <w:r w:rsidRPr="00330A66">
        <w:t xml:space="preserve"> figures, ranging around US$123 million to US$129 million, depending on whether grants and all financing rounds are included. </w:t>
      </w:r>
      <w:hyperlink r:id="rId30" w:history="1">
        <w:r w:rsidRPr="00330A66">
          <w:rPr>
            <w:rStyle w:val="Hyperlink"/>
          </w:rPr>
          <w:t>[tracxn.com]</w:t>
        </w:r>
      </w:hyperlink>
      <w:r w:rsidRPr="00330A66">
        <w:t xml:space="preserve">, </w:t>
      </w:r>
      <w:hyperlink r:id="rId31" w:history="1">
        <w:r w:rsidRPr="00330A66">
          <w:rPr>
            <w:rStyle w:val="Hyperlink"/>
          </w:rPr>
          <w:t>[theailandscape.com]</w:t>
        </w:r>
      </w:hyperlink>
    </w:p>
    <w:p w14:paraId="4F0FBF05" w14:textId="77777777" w:rsidR="00330A66" w:rsidRPr="00330A66" w:rsidRDefault="00330A66" w:rsidP="00330A66">
      <w:pPr>
        <w:rPr>
          <w:b/>
          <w:bCs/>
        </w:rPr>
      </w:pPr>
      <w:r w:rsidRPr="00330A66">
        <w:rPr>
          <w:b/>
          <w:bCs/>
        </w:rPr>
        <w:t>Epic Systems</w:t>
      </w:r>
    </w:p>
    <w:p w14:paraId="2A200A25" w14:textId="77777777" w:rsidR="00330A66" w:rsidRPr="00330A66" w:rsidRDefault="00330A66" w:rsidP="00330A66">
      <w:r w:rsidRPr="00330A66">
        <w:t xml:space="preserve">embeds CDS directly in its EHR workflow, including alerts, order guidance, risk scores and access to clinical evidence. Its strategic advantage is not a single AI algorithm but control of the clinician’s primary workflow, underlying longitudinal record and deployment surface. In September 2026, Wolters Kluwer stated that UpToDate content would be available inside Epic’s Evidence in Art and would help power Epic Agent Factory, through which health systems can build AI experiences on evidence-based content. </w:t>
      </w:r>
      <w:hyperlink r:id="rId32" w:history="1">
        <w:r w:rsidRPr="00330A66">
          <w:rPr>
            <w:rStyle w:val="Hyperlink"/>
          </w:rPr>
          <w:t>[wolterskluwer.com]</w:t>
        </w:r>
      </w:hyperlink>
    </w:p>
    <w:p w14:paraId="2A31F36D" w14:textId="77777777" w:rsidR="00330A66" w:rsidRPr="00330A66" w:rsidRDefault="00330A66" w:rsidP="00330A66">
      <w:r w:rsidRPr="00330A66">
        <w:rPr>
          <w:b/>
          <w:bCs/>
        </w:rPr>
        <w:t>Scale and ownership:</w:t>
      </w:r>
      <w:r w:rsidRPr="00330A66">
        <w:t xml:space="preserve"> Epic’s EHR is used in the care of more than 280 million Americans, according to Wolters Kluwer. Epic is privately held. Publicly reliable segment revenue for CDS was not found, and Epic does not separately disclose CDS revenue. </w:t>
      </w:r>
      <w:hyperlink r:id="rId33" w:history="1">
        <w:r w:rsidRPr="00330A66">
          <w:rPr>
            <w:rStyle w:val="Hyperlink"/>
          </w:rPr>
          <w:t>[wolterskluwer.com]</w:t>
        </w:r>
      </w:hyperlink>
    </w:p>
    <w:p w14:paraId="59546919" w14:textId="77777777" w:rsidR="00330A66" w:rsidRPr="00330A66" w:rsidRDefault="00330A66" w:rsidP="00330A66">
      <w:pPr>
        <w:rPr>
          <w:b/>
          <w:bCs/>
        </w:rPr>
      </w:pPr>
      <w:r w:rsidRPr="00330A66">
        <w:rPr>
          <w:b/>
          <w:bCs/>
        </w:rPr>
        <w:t>Wolters Kluwer</w:t>
      </w:r>
    </w:p>
    <w:p w14:paraId="1650CF62" w14:textId="77777777" w:rsidR="00330A66" w:rsidRPr="00330A66" w:rsidRDefault="00330A66" w:rsidP="00330A66">
      <w:r w:rsidRPr="00330A66">
        <w:lastRenderedPageBreak/>
        <w:t xml:space="preserve">provides evidence and medication intelligence through UpToDate, UpToDate Lexidrug, Medi-Span and patient-education products. Its CDS proposition combines clinician-authored evidence retrieval with embedded medication checks for interactions, dose ranges and duplicate therapies. This is a lower-autonomy form of AI/CDS than diagnostic imaging algorithms, but it is deeply embedded, recurring and supported by trusted medical content. </w:t>
      </w:r>
      <w:hyperlink r:id="rId34" w:history="1">
        <w:r w:rsidRPr="00330A66">
          <w:rPr>
            <w:rStyle w:val="Hyperlink"/>
          </w:rPr>
          <w:t>[wolterskluwer.com]</w:t>
        </w:r>
      </w:hyperlink>
      <w:r w:rsidRPr="00330A66">
        <w:t xml:space="preserve">, </w:t>
      </w:r>
      <w:hyperlink r:id="rId35" w:history="1">
        <w:r w:rsidRPr="00330A66">
          <w:rPr>
            <w:rStyle w:val="Hyperlink"/>
          </w:rPr>
          <w:t>[businesswire.com]</w:t>
        </w:r>
      </w:hyperlink>
    </w:p>
    <w:p w14:paraId="35309A46" w14:textId="77777777" w:rsidR="00330A66" w:rsidRPr="00330A66" w:rsidRDefault="00330A66" w:rsidP="00330A66">
      <w:r w:rsidRPr="00330A66">
        <w:rPr>
          <w:b/>
          <w:bCs/>
        </w:rPr>
        <w:t>Scale and ownership:</w:t>
      </w:r>
      <w:r w:rsidRPr="00330A66">
        <w:t xml:space="preserve"> UpToDate Enterprise Edition was in use at more than 100 healthcare organisations as of March 2024. Wolters Kluwer is publicly listed; CDS revenue is not separately disclosed in the cited materials. </w:t>
      </w:r>
      <w:hyperlink r:id="rId36" w:history="1">
        <w:r w:rsidRPr="00330A66">
          <w:rPr>
            <w:rStyle w:val="Hyperlink"/>
          </w:rPr>
          <w:t>[wolterskluwer.com]</w:t>
        </w:r>
      </w:hyperlink>
    </w:p>
    <w:p w14:paraId="249B47B2" w14:textId="77777777" w:rsidR="00330A66" w:rsidRPr="00330A66" w:rsidRDefault="00330A66" w:rsidP="00330A66">
      <w:pPr>
        <w:rPr>
          <w:b/>
          <w:bCs/>
        </w:rPr>
      </w:pPr>
      <w:r w:rsidRPr="00330A66">
        <w:rPr>
          <w:b/>
          <w:bCs/>
        </w:rPr>
        <w:t>Infermedica</w:t>
      </w:r>
    </w:p>
    <w:p w14:paraId="741A5074" w14:textId="77777777" w:rsidR="00330A66" w:rsidRPr="00330A66" w:rsidRDefault="00330A66" w:rsidP="00330A66">
      <w:r w:rsidRPr="00330A66">
        <w:t xml:space="preserve">provides symptom assessment, intake, triage and preliminary diagnostic support for insurers, telehealth providers and health systems. Its Medical Guidance Platform is designed to support the </w:t>
      </w:r>
      <w:proofErr w:type="gramStart"/>
      <w:r w:rsidRPr="00330A66">
        <w:t>patient</w:t>
      </w:r>
      <w:proofErr w:type="gramEnd"/>
      <w:r w:rsidRPr="00330A66">
        <w:t xml:space="preserve"> journey from symptom collection through triage and handoff to a provider, rather than making a definitive diagnosis. Its product is particularly relevant to front-door navigation and primary-care capacity management. </w:t>
      </w:r>
      <w:hyperlink r:id="rId37" w:history="1">
        <w:r w:rsidRPr="00330A66">
          <w:rPr>
            <w:rStyle w:val="Hyperlink"/>
          </w:rPr>
          <w:t>[</w:t>
        </w:r>
        <w:proofErr w:type="gramStart"/>
        <w:r w:rsidRPr="00330A66">
          <w:rPr>
            <w:rStyle w:val="Hyperlink"/>
          </w:rPr>
          <w:t>onepeak.tech</w:t>
        </w:r>
        <w:proofErr w:type="gramEnd"/>
        <w:r w:rsidRPr="00330A66">
          <w:rPr>
            <w:rStyle w:val="Hyperlink"/>
          </w:rPr>
          <w:t>]</w:t>
        </w:r>
      </w:hyperlink>
    </w:p>
    <w:p w14:paraId="308D5559" w14:textId="77777777" w:rsidR="00330A66" w:rsidRPr="00330A66" w:rsidRDefault="00330A66" w:rsidP="00330A66">
      <w:r w:rsidRPr="00330A66">
        <w:rPr>
          <w:b/>
          <w:bCs/>
        </w:rPr>
        <w:t>Scale and ownership:</w:t>
      </w:r>
      <w:r w:rsidRPr="00330A66">
        <w:t xml:space="preserve"> In January 2022, Infermedica’s solutions were available in 30 countries and 19 languages and used by more than 90 healthcare organisations and partners. The US$30 million Series B led by One Peak brought disclosed total funding at that time to US$44 million. Infermedica is private and VC/growth-equity backed; later databases place total funding at approximately US$44 million to US$45 million. </w:t>
      </w:r>
      <w:hyperlink r:id="rId38" w:history="1">
        <w:r w:rsidRPr="00330A66">
          <w:rPr>
            <w:rStyle w:val="Hyperlink"/>
          </w:rPr>
          <w:t>[</w:t>
        </w:r>
        <w:proofErr w:type="gramStart"/>
        <w:r w:rsidRPr="00330A66">
          <w:rPr>
            <w:rStyle w:val="Hyperlink"/>
          </w:rPr>
          <w:t>onepeak.tech</w:t>
        </w:r>
        <w:proofErr w:type="gramEnd"/>
        <w:r w:rsidRPr="00330A66">
          <w:rPr>
            <w:rStyle w:val="Hyperlink"/>
          </w:rPr>
          <w:t>]</w:t>
        </w:r>
      </w:hyperlink>
      <w:r w:rsidRPr="00330A66">
        <w:t xml:space="preserve">, </w:t>
      </w:r>
      <w:hyperlink r:id="rId39" w:history="1">
        <w:r w:rsidRPr="00330A66">
          <w:rPr>
            <w:rStyle w:val="Hyperlink"/>
          </w:rPr>
          <w:t>[tracxn.com]</w:t>
        </w:r>
      </w:hyperlink>
    </w:p>
    <w:p w14:paraId="390FFDB1" w14:textId="77777777" w:rsidR="00330A66" w:rsidRPr="00330A66" w:rsidRDefault="00330A66" w:rsidP="00330A66">
      <w:pPr>
        <w:rPr>
          <w:b/>
          <w:bCs/>
        </w:rPr>
      </w:pPr>
      <w:r w:rsidRPr="00330A66">
        <w:rPr>
          <w:b/>
          <w:bCs/>
        </w:rPr>
        <w:t>Premier / Stanson Health / IllumiCare</w:t>
      </w:r>
    </w:p>
    <w:p w14:paraId="35843848" w14:textId="77777777" w:rsidR="00330A66" w:rsidRPr="00330A66" w:rsidRDefault="00330A66" w:rsidP="00330A66">
      <w:r w:rsidRPr="00330A66">
        <w:t xml:space="preserve">combines clinical, utilisation and financial data to influence decisions at the point of care. Stanson’s CDS tools are embedded in EHR workflows, while IllumiCare identifies medication and diagnostic use unlikely to deliver clinical benefit, attributes actual supply cost and provides targeted clinician “nudges.” This is differentiated from diagnostic AI because the primary value proposition is reducing low-value care and improving cost-aware decisions. </w:t>
      </w:r>
      <w:hyperlink r:id="rId40" w:history="1">
        <w:r w:rsidRPr="00330A66">
          <w:rPr>
            <w:rStyle w:val="Hyperlink"/>
          </w:rPr>
          <w:t>[premierinc.com]</w:t>
        </w:r>
      </w:hyperlink>
    </w:p>
    <w:p w14:paraId="2C6FF8DA" w14:textId="77777777" w:rsidR="00330A66" w:rsidRPr="00330A66" w:rsidRDefault="00330A66" w:rsidP="00330A66">
      <w:r w:rsidRPr="00330A66">
        <w:rPr>
          <w:b/>
          <w:bCs/>
        </w:rPr>
        <w:t>Scale and ownership:</w:t>
      </w:r>
      <w:r w:rsidRPr="00330A66">
        <w:t xml:space="preserve"> IllumiCare reported use by more than 82,000 providers and compatibility with more than 50 EMR systems at the time of its June 2025 acquisition. Financial terms for the IllumiCare acquisition were not disclosed. Premier was subsequently acquired by Patient Square Capital for US$2.6 billion and became privately held on 25 November 2025. </w:t>
      </w:r>
      <w:hyperlink r:id="rId41" w:history="1">
        <w:r w:rsidRPr="00330A66">
          <w:rPr>
            <w:rStyle w:val="Hyperlink"/>
          </w:rPr>
          <w:t>[premierinc.com]</w:t>
        </w:r>
      </w:hyperlink>
      <w:r w:rsidRPr="00330A66">
        <w:t xml:space="preserve">, </w:t>
      </w:r>
      <w:hyperlink r:id="rId42" w:history="1">
        <w:r w:rsidRPr="00330A66">
          <w:rPr>
            <w:rStyle w:val="Hyperlink"/>
          </w:rPr>
          <w:t>[patientsqu...apital.com]</w:t>
        </w:r>
      </w:hyperlink>
    </w:p>
    <w:p w14:paraId="5EAA7CBD" w14:textId="77777777" w:rsidR="00330A66" w:rsidRPr="00330A66" w:rsidRDefault="00330A66" w:rsidP="00330A66">
      <w:pPr>
        <w:rPr>
          <w:b/>
          <w:bCs/>
        </w:rPr>
      </w:pPr>
      <w:r w:rsidRPr="00330A66">
        <w:rPr>
          <w:b/>
          <w:bCs/>
        </w:rPr>
        <w:t>4. Porter's Five Forces</w:t>
      </w:r>
    </w:p>
    <w:p w14:paraId="4D804BAE" w14:textId="77777777" w:rsidR="00330A66" w:rsidRPr="00330A66" w:rsidRDefault="00330A66" w:rsidP="00330A66">
      <w:pPr>
        <w:rPr>
          <w:b/>
          <w:bCs/>
        </w:rPr>
      </w:pPr>
      <w:r w:rsidRPr="00330A66">
        <w:rPr>
          <w:b/>
          <w:bCs/>
        </w:rPr>
        <w:lastRenderedPageBreak/>
        <w:t>Competitive rivalry: 4/5, high</w:t>
      </w:r>
    </w:p>
    <w:p w14:paraId="4DE43710" w14:textId="77777777" w:rsidR="00330A66" w:rsidRPr="00330A66" w:rsidRDefault="00330A66" w:rsidP="00330A66">
      <w:r w:rsidRPr="00330A66">
        <w:t xml:space="preserve">Rivalry is high because the market includes EHR incumbents, evidence-content providers, imaging-AI specialists and disease-specific startups. Integrated CDSS represented 58.23% of clinical decision-support software revenue in 2025 in Mordor Intelligence’s taxonomy, giving EHR-embedded providers a distribution advantage. At the same time, standalone CDSS is forecast to grow at 15.25% through 2031, allowing specialist vendors to challenge incumbents where they can demonstrate better clinical performance or faster workflow impact. </w:t>
      </w:r>
      <w:hyperlink r:id="rId43" w:history="1">
        <w:r w:rsidRPr="00330A66">
          <w:rPr>
            <w:rStyle w:val="Hyperlink"/>
          </w:rPr>
          <w:t>[mordorinte...igence.com]</w:t>
        </w:r>
      </w:hyperlink>
    </w:p>
    <w:p w14:paraId="47214D62" w14:textId="77777777" w:rsidR="00330A66" w:rsidRPr="00330A66" w:rsidRDefault="00330A66" w:rsidP="00330A66">
      <w:r w:rsidRPr="00330A66">
        <w:t>The competitive battleground is shifting from a single algorithm to the enterprise platform, with vendors seeking to own deployment, governance, workflow integration and multiple clinical indications. This pressures single-product vendors toward partnerships, consolidation or narrow specialty leadership.</w:t>
      </w:r>
    </w:p>
    <w:p w14:paraId="63A28A02" w14:textId="77777777" w:rsidR="00330A66" w:rsidRPr="00330A66" w:rsidRDefault="00330A66" w:rsidP="00330A66">
      <w:pPr>
        <w:rPr>
          <w:b/>
          <w:bCs/>
        </w:rPr>
      </w:pPr>
      <w:r w:rsidRPr="00330A66">
        <w:rPr>
          <w:b/>
          <w:bCs/>
        </w:rPr>
        <w:t>Buyer power: 4/5, high</w:t>
      </w:r>
    </w:p>
    <w:p w14:paraId="6D954DA9" w14:textId="77777777" w:rsidR="00330A66" w:rsidRPr="00330A66" w:rsidRDefault="00330A66" w:rsidP="00330A66">
      <w:r w:rsidRPr="00330A66">
        <w:t>Hospitals and health systems have substantial power because they control access to clinical data, workflow integration and procurement. They can demand security reviews, local validation, EHR integration, indemnities and evidence of measurable clinical or financial impact before system-wide adoption.</w:t>
      </w:r>
    </w:p>
    <w:p w14:paraId="13D12B8E" w14:textId="77777777" w:rsidR="00330A66" w:rsidRPr="00330A66" w:rsidRDefault="00330A66" w:rsidP="00330A66">
      <w:r w:rsidRPr="00330A66">
        <w:t xml:space="preserve">Buyer concentration is especially important in the US, where a single enterprise agreement can cover multiple hospitals. Conversely, products that are deeply embedded in an EHR or validated across an enterprise create switching costs. IllumiCare’s compatibility with more than 50 EMR systems illustrates why buyers value portability and integration breadth. </w:t>
      </w:r>
      <w:hyperlink r:id="rId44" w:history="1">
        <w:r w:rsidRPr="00330A66">
          <w:rPr>
            <w:rStyle w:val="Hyperlink"/>
          </w:rPr>
          <w:t>[premierinc.com]</w:t>
        </w:r>
      </w:hyperlink>
    </w:p>
    <w:p w14:paraId="5A80B46F" w14:textId="77777777" w:rsidR="00330A66" w:rsidRPr="00330A66" w:rsidRDefault="00330A66" w:rsidP="00330A66">
      <w:r w:rsidRPr="00330A66">
        <w:t>In India, state governments and large hospital chains can exert even stronger pricing power because contracts may involve population-scale deployment, local implementation and public-health budgets rather than per-clinician US SaaS pricing.</w:t>
      </w:r>
    </w:p>
    <w:p w14:paraId="1696FBF7" w14:textId="77777777" w:rsidR="00330A66" w:rsidRPr="00330A66" w:rsidRDefault="00330A66" w:rsidP="00330A66">
      <w:pPr>
        <w:rPr>
          <w:b/>
          <w:bCs/>
        </w:rPr>
      </w:pPr>
      <w:r w:rsidRPr="00330A66">
        <w:rPr>
          <w:b/>
          <w:bCs/>
        </w:rPr>
        <w:t>Supplier power: 3/5, moderate</w:t>
      </w:r>
    </w:p>
    <w:p w14:paraId="394CECF3" w14:textId="77777777" w:rsidR="00330A66" w:rsidRPr="00330A66" w:rsidRDefault="00330A66" w:rsidP="00330A66">
      <w:r w:rsidRPr="00330A66">
        <w:t>Critical suppliers include EHR vendors, cloud providers, imaging-equipment ecosystems, specialist clinicians who curate and validate content, and hospitals that provide representative training and validation data. EHR owners can determine whether a third-party tool is visible at the point of care, making integration access strategically important.</w:t>
      </w:r>
    </w:p>
    <w:p w14:paraId="572B0549" w14:textId="77777777" w:rsidR="00330A66" w:rsidRPr="00330A66" w:rsidRDefault="00330A66" w:rsidP="00330A66">
      <w:r w:rsidRPr="00330A66">
        <w:t>Supplier power is moderated by interoperability standards and multi-EHR architectures. However, high-quality labelled clinical data remains scarce, and general cloud or foundation-model infrastructure is not a substitute for clinically validated, representative datasets.</w:t>
      </w:r>
    </w:p>
    <w:p w14:paraId="2876A7A6" w14:textId="77777777" w:rsidR="00330A66" w:rsidRPr="00330A66" w:rsidRDefault="00330A66" w:rsidP="00330A66">
      <w:pPr>
        <w:rPr>
          <w:b/>
          <w:bCs/>
        </w:rPr>
      </w:pPr>
      <w:r w:rsidRPr="00330A66">
        <w:rPr>
          <w:b/>
          <w:bCs/>
        </w:rPr>
        <w:lastRenderedPageBreak/>
        <w:t>Threat of new entrants: 3/5, moderate</w:t>
      </w:r>
    </w:p>
    <w:p w14:paraId="6B0A54E2" w14:textId="77777777" w:rsidR="00330A66" w:rsidRPr="00330A66" w:rsidRDefault="00330A66" w:rsidP="00330A66">
      <w:r w:rsidRPr="00330A66">
        <w:t>Model-development costs are falling, and open-source models reduce the technical barrier to producing a prototype. Entry into regulated production remains significantly harder because a new vendor needs clinical evidence, quality systems, cybersecurity controls, regulatory submissions, post-market monitoring, EHR integration and institutional trust.</w:t>
      </w:r>
    </w:p>
    <w:p w14:paraId="06674A2E" w14:textId="77777777" w:rsidR="00330A66" w:rsidRPr="00330A66" w:rsidRDefault="00330A66" w:rsidP="00330A66">
      <w:r w:rsidRPr="00330A66">
        <w:t xml:space="preserve">The fact that the FDA had authorised more than 1,000 AI-enabled devices by January 2025 demonstrates that entry is </w:t>
      </w:r>
      <w:proofErr w:type="gramStart"/>
      <w:r w:rsidRPr="00330A66">
        <w:t>possible, but</w:t>
      </w:r>
      <w:proofErr w:type="gramEnd"/>
      <w:r w:rsidRPr="00330A66">
        <w:t xml:space="preserve"> also creates an increasingly crowded attention and procurement environment. </w:t>
      </w:r>
      <w:hyperlink r:id="rId45" w:history="1">
        <w:r w:rsidRPr="00330A66">
          <w:rPr>
            <w:rStyle w:val="Hyperlink"/>
          </w:rPr>
          <w:t>[fda.gov]</w:t>
        </w:r>
      </w:hyperlink>
    </w:p>
    <w:p w14:paraId="439585BA" w14:textId="77777777" w:rsidR="00330A66" w:rsidRPr="00330A66" w:rsidRDefault="00330A66" w:rsidP="00330A66">
      <w:pPr>
        <w:rPr>
          <w:b/>
          <w:bCs/>
        </w:rPr>
      </w:pPr>
      <w:r w:rsidRPr="00330A66">
        <w:rPr>
          <w:b/>
          <w:bCs/>
        </w:rPr>
        <w:t>Threat of substitutes: 3/5, moderate</w:t>
      </w:r>
    </w:p>
    <w:p w14:paraId="5A380131" w14:textId="77777777" w:rsidR="00330A66" w:rsidRPr="00330A66" w:rsidRDefault="00330A66" w:rsidP="00330A66">
      <w:r w:rsidRPr="00330A66">
        <w:t xml:space="preserve">Substitutes include traditional rule-based CDS, clinical reference tools, physician judgement, specialist consultation, outsourced reading services and functionality developed by EHR vendors or health systems themselves. For </w:t>
      </w:r>
      <w:proofErr w:type="gramStart"/>
      <w:r w:rsidRPr="00330A66">
        <w:t>low-risk</w:t>
      </w:r>
      <w:proofErr w:type="gramEnd"/>
      <w:r w:rsidRPr="00330A66">
        <w:t xml:space="preserve"> use cases, a hospital may prefer a conventional order set or alert rather than introducing a regulated AI product.</w:t>
      </w:r>
    </w:p>
    <w:p w14:paraId="31929FBA" w14:textId="77777777" w:rsidR="00330A66" w:rsidRPr="00330A66" w:rsidRDefault="00330A66" w:rsidP="00330A66">
      <w:r w:rsidRPr="00330A66">
        <w:t>The substitute threat is lower where AI materially changes turnaround time, expands specialist coverage or coordinates care across departments. It is higher where the output merely repackages readily available guidelines without proprietary workflow integration or validated incremental impact.</w:t>
      </w:r>
    </w:p>
    <w:p w14:paraId="61065DC3" w14:textId="77777777" w:rsidR="00330A66" w:rsidRPr="00330A66" w:rsidRDefault="00330A66" w:rsidP="00330A66">
      <w:pPr>
        <w:rPr>
          <w:b/>
          <w:bCs/>
        </w:rPr>
      </w:pPr>
      <w:r w:rsidRPr="00330A66">
        <w:rPr>
          <w:b/>
          <w:bCs/>
        </w:rPr>
        <w:t>5. PE Firms Present, Stakes, and Strategic Vision</w:t>
      </w:r>
    </w:p>
    <w:p w14:paraId="4C47EEB6" w14:textId="77777777" w:rsidR="00330A66" w:rsidRPr="00330A66" w:rsidRDefault="00330A66" w:rsidP="00330A66">
      <w:pPr>
        <w:rPr>
          <w:b/>
          <w:bCs/>
        </w:rPr>
      </w:pPr>
      <w:r w:rsidRPr="00330A66">
        <w:rPr>
          <w:b/>
          <w:bCs/>
        </w:rPr>
        <w:t>Patient Square Capital and Premier</w:t>
      </w:r>
    </w:p>
    <w:p w14:paraId="7E9D9308" w14:textId="77777777" w:rsidR="00330A66" w:rsidRPr="00330A66" w:rsidRDefault="00330A66" w:rsidP="00330A66">
      <w:pPr>
        <w:numPr>
          <w:ilvl w:val="0"/>
          <w:numId w:val="5"/>
        </w:numPr>
      </w:pPr>
      <w:r w:rsidRPr="00330A66">
        <w:rPr>
          <w:b/>
          <w:bCs/>
        </w:rPr>
        <w:t>Deal:</w:t>
      </w:r>
      <w:r w:rsidRPr="00330A66">
        <w:t xml:space="preserve"> Patient Square completed its acquisition of Premier on 25 November 2025 for US$2.6 billion. Premier shareholders received US$28.25 per share, and the company was delisted, indicating full-control private ownership. </w:t>
      </w:r>
      <w:hyperlink r:id="rId46" w:history="1">
        <w:r w:rsidRPr="00330A66">
          <w:rPr>
            <w:rStyle w:val="Hyperlink"/>
          </w:rPr>
          <w:t>[patientsqu...apital.com]</w:t>
        </w:r>
      </w:hyperlink>
    </w:p>
    <w:p w14:paraId="7E1E8EB7" w14:textId="77777777" w:rsidR="00330A66" w:rsidRPr="00330A66" w:rsidRDefault="00330A66" w:rsidP="00330A66">
      <w:pPr>
        <w:numPr>
          <w:ilvl w:val="0"/>
          <w:numId w:val="5"/>
        </w:numPr>
      </w:pPr>
      <w:r w:rsidRPr="00330A66">
        <w:rPr>
          <w:b/>
          <w:bCs/>
        </w:rPr>
        <w:t>CDS exposure:</w:t>
      </w:r>
      <w:r w:rsidRPr="00330A66">
        <w:t xml:space="preserve"> Premier owns Stanson Health and acquired IllumiCare in June 2025. IllumiCare’s acquisition price was not disclosed. </w:t>
      </w:r>
      <w:hyperlink r:id="rId47" w:history="1">
        <w:r w:rsidRPr="00330A66">
          <w:rPr>
            <w:rStyle w:val="Hyperlink"/>
          </w:rPr>
          <w:t>[premierinc.com]</w:t>
        </w:r>
      </w:hyperlink>
    </w:p>
    <w:p w14:paraId="75560993" w14:textId="77777777" w:rsidR="00330A66" w:rsidRPr="00330A66" w:rsidRDefault="00330A66" w:rsidP="00330A66">
      <w:pPr>
        <w:numPr>
          <w:ilvl w:val="0"/>
          <w:numId w:val="5"/>
        </w:numPr>
      </w:pPr>
      <w:r w:rsidRPr="00330A66">
        <w:rPr>
          <w:b/>
          <w:bCs/>
        </w:rPr>
        <w:t>Value-creation thesis:</w:t>
      </w:r>
      <w:r w:rsidRPr="00330A66">
        <w:t xml:space="preserve"> The stated strategy is to provide Premier with additional capital and financial flexibility to accelerate technology-enablement of its product portfolio and pursue emerging opportunities. For CDS specifically, the logical mechanism is cross-selling cost-aware decision support into Premier’s provider network and combining clinical recommendations with supply-chain, utilisation and financial data. The cross-selling component is an inference based on the </w:t>
      </w:r>
      <w:r w:rsidRPr="00330A66">
        <w:lastRenderedPageBreak/>
        <w:t xml:space="preserve">assets’ disclosed capabilities, not an explicitly quantified plan. </w:t>
      </w:r>
      <w:hyperlink r:id="rId48" w:history="1">
        <w:r w:rsidRPr="00330A66">
          <w:rPr>
            <w:rStyle w:val="Hyperlink"/>
          </w:rPr>
          <w:t>[patientsqu...apital.com]</w:t>
        </w:r>
      </w:hyperlink>
      <w:r w:rsidRPr="00330A66">
        <w:t xml:space="preserve">, </w:t>
      </w:r>
      <w:hyperlink r:id="rId49" w:history="1">
        <w:r w:rsidRPr="00330A66">
          <w:rPr>
            <w:rStyle w:val="Hyperlink"/>
          </w:rPr>
          <w:t>[premierinc.com]</w:t>
        </w:r>
      </w:hyperlink>
    </w:p>
    <w:p w14:paraId="00BA396D" w14:textId="77777777" w:rsidR="00330A66" w:rsidRPr="00330A66" w:rsidRDefault="00330A66" w:rsidP="00330A66">
      <w:pPr>
        <w:rPr>
          <w:b/>
          <w:bCs/>
        </w:rPr>
      </w:pPr>
      <w:r w:rsidRPr="00330A66">
        <w:rPr>
          <w:b/>
          <w:bCs/>
        </w:rPr>
        <w:t>Bain Capital and Hellman &amp; Friedman in athenahealth</w:t>
      </w:r>
    </w:p>
    <w:p w14:paraId="0339C92B" w14:textId="77777777" w:rsidR="00330A66" w:rsidRPr="00330A66" w:rsidRDefault="00330A66" w:rsidP="00330A66">
      <w:pPr>
        <w:numPr>
          <w:ilvl w:val="0"/>
          <w:numId w:val="6"/>
        </w:numPr>
      </w:pPr>
      <w:r w:rsidRPr="00330A66">
        <w:rPr>
          <w:b/>
          <w:bCs/>
        </w:rPr>
        <w:t>Deal:</w:t>
      </w:r>
      <w:r w:rsidRPr="00330A66">
        <w:t xml:space="preserve"> Affiliates of Bain Capital and Hellman &amp; Friedman completed the US$17 billion acquisition of athenahealth on 15 February 2022. Veritas Capital and Evergreen Coast Capital retained minority investments; GIC and an Abu Dhabi Investment Authority subsidiary also participated. Exact individual ownership percentages were not disclosed. </w:t>
      </w:r>
      <w:hyperlink r:id="rId50" w:history="1">
        <w:r w:rsidRPr="00330A66">
          <w:rPr>
            <w:rStyle w:val="Hyperlink"/>
          </w:rPr>
          <w:t>[athenahealth.com]</w:t>
        </w:r>
      </w:hyperlink>
    </w:p>
    <w:p w14:paraId="5AE71D6F" w14:textId="77777777" w:rsidR="00330A66" w:rsidRPr="00330A66" w:rsidRDefault="00330A66" w:rsidP="00330A66">
      <w:pPr>
        <w:numPr>
          <w:ilvl w:val="0"/>
          <w:numId w:val="6"/>
        </w:numPr>
      </w:pPr>
      <w:r w:rsidRPr="00330A66">
        <w:rPr>
          <w:b/>
          <w:bCs/>
        </w:rPr>
        <w:t>Value-creation thesis:</w:t>
      </w:r>
      <w:r w:rsidRPr="00330A66">
        <w:t xml:space="preserve"> Bain describes athenahealth as a scaled cloud platform positioned to take share from legacy </w:t>
      </w:r>
      <w:proofErr w:type="gramStart"/>
      <w:r w:rsidRPr="00330A66">
        <w:t>on-premise</w:t>
      </w:r>
      <w:proofErr w:type="gramEnd"/>
      <w:r w:rsidRPr="00330A66">
        <w:t xml:space="preserve"> systems and act as a long-term consolidator. The thesis centres on cloud delivery, integrated billing, ROI for medical practices and expansion across a connected payer-provider-patient network. CDS benefits indirectly from the EHR’s installed base, workflow control and longitudinal data. </w:t>
      </w:r>
      <w:hyperlink r:id="rId51" w:history="1">
        <w:r w:rsidRPr="00330A66">
          <w:rPr>
            <w:rStyle w:val="Hyperlink"/>
          </w:rPr>
          <w:t>[baincapital.com]</w:t>
        </w:r>
      </w:hyperlink>
    </w:p>
    <w:p w14:paraId="6F61141B" w14:textId="77777777" w:rsidR="00330A66" w:rsidRPr="00330A66" w:rsidRDefault="00330A66" w:rsidP="00330A66">
      <w:pPr>
        <w:rPr>
          <w:b/>
          <w:bCs/>
        </w:rPr>
      </w:pPr>
      <w:r w:rsidRPr="00330A66">
        <w:rPr>
          <w:b/>
          <w:bCs/>
        </w:rPr>
        <w:t>One Peak in Infermedica</w:t>
      </w:r>
    </w:p>
    <w:p w14:paraId="7A4D4D29" w14:textId="77777777" w:rsidR="00330A66" w:rsidRPr="00330A66" w:rsidRDefault="00330A66" w:rsidP="00330A66">
      <w:pPr>
        <w:numPr>
          <w:ilvl w:val="0"/>
          <w:numId w:val="7"/>
        </w:numPr>
      </w:pPr>
      <w:r w:rsidRPr="00330A66">
        <w:rPr>
          <w:b/>
          <w:bCs/>
        </w:rPr>
        <w:t>Deal:</w:t>
      </w:r>
      <w:r w:rsidRPr="00330A66">
        <w:t xml:space="preserve"> One Peak led a US$30 million Series B in January 2022. The exact ownership stake was not disclosed. </w:t>
      </w:r>
      <w:hyperlink r:id="rId52" w:history="1">
        <w:r w:rsidRPr="00330A66">
          <w:rPr>
            <w:rStyle w:val="Hyperlink"/>
          </w:rPr>
          <w:t>[</w:t>
        </w:r>
        <w:proofErr w:type="gramStart"/>
        <w:r w:rsidRPr="00330A66">
          <w:rPr>
            <w:rStyle w:val="Hyperlink"/>
          </w:rPr>
          <w:t>onepeak.tech</w:t>
        </w:r>
        <w:proofErr w:type="gramEnd"/>
        <w:r w:rsidRPr="00330A66">
          <w:rPr>
            <w:rStyle w:val="Hyperlink"/>
          </w:rPr>
          <w:t>]</w:t>
        </w:r>
      </w:hyperlink>
    </w:p>
    <w:p w14:paraId="029619C1" w14:textId="77777777" w:rsidR="00330A66" w:rsidRPr="00330A66" w:rsidRDefault="00330A66" w:rsidP="00330A66">
      <w:pPr>
        <w:numPr>
          <w:ilvl w:val="0"/>
          <w:numId w:val="7"/>
        </w:numPr>
      </w:pPr>
      <w:r w:rsidRPr="00330A66">
        <w:rPr>
          <w:b/>
          <w:bCs/>
        </w:rPr>
        <w:t>Value-creation thesis:</w:t>
      </w:r>
      <w:r w:rsidRPr="00330A66">
        <w:t xml:space="preserve"> Scale Infermedica from symptom checking into an end-to-end Medical Guidance Platform, add modules across the primary-care journey, expand internationally and deepen EHR integration. One Peak specifically cited clinical safety, accuracy, user experience, ease of deployment and customer service as reasons for the investment. </w:t>
      </w:r>
      <w:hyperlink r:id="rId53" w:history="1">
        <w:r w:rsidRPr="00330A66">
          <w:rPr>
            <w:rStyle w:val="Hyperlink"/>
          </w:rPr>
          <w:t>[</w:t>
        </w:r>
        <w:proofErr w:type="gramStart"/>
        <w:r w:rsidRPr="00330A66">
          <w:rPr>
            <w:rStyle w:val="Hyperlink"/>
          </w:rPr>
          <w:t>onepeak.tech</w:t>
        </w:r>
        <w:proofErr w:type="gramEnd"/>
        <w:r w:rsidRPr="00330A66">
          <w:rPr>
            <w:rStyle w:val="Hyperlink"/>
          </w:rPr>
          <w:t>]</w:t>
        </w:r>
      </w:hyperlink>
    </w:p>
    <w:p w14:paraId="5366BE54" w14:textId="77777777" w:rsidR="00330A66" w:rsidRPr="00330A66" w:rsidRDefault="00330A66" w:rsidP="00330A66">
      <w:pPr>
        <w:rPr>
          <w:b/>
          <w:bCs/>
        </w:rPr>
      </w:pPr>
      <w:r w:rsidRPr="00330A66">
        <w:rPr>
          <w:b/>
          <w:bCs/>
        </w:rPr>
        <w:t>TCV and Alpha Intelligence Capital in Aidoc</w:t>
      </w:r>
    </w:p>
    <w:p w14:paraId="27A085B8" w14:textId="77777777" w:rsidR="00330A66" w:rsidRPr="00330A66" w:rsidRDefault="00330A66" w:rsidP="00330A66">
      <w:pPr>
        <w:numPr>
          <w:ilvl w:val="0"/>
          <w:numId w:val="8"/>
        </w:numPr>
      </w:pPr>
      <w:r w:rsidRPr="00330A66">
        <w:rPr>
          <w:b/>
          <w:bCs/>
        </w:rPr>
        <w:t>Deal:</w:t>
      </w:r>
      <w:r w:rsidRPr="00330A66">
        <w:t xml:space="preserve"> TCV and Alpha Intelligence Capital co-led Aidoc’s US$110 million Series D in June 2022; the precise stakes were not disclosed. </w:t>
      </w:r>
      <w:hyperlink r:id="rId54" w:history="1">
        <w:r w:rsidRPr="00330A66">
          <w:rPr>
            <w:rStyle w:val="Hyperlink"/>
          </w:rPr>
          <w:t>[aidoc.com]</w:t>
        </w:r>
      </w:hyperlink>
    </w:p>
    <w:p w14:paraId="5436AF39" w14:textId="77777777" w:rsidR="00330A66" w:rsidRPr="00330A66" w:rsidRDefault="00330A66" w:rsidP="00330A66">
      <w:pPr>
        <w:numPr>
          <w:ilvl w:val="0"/>
          <w:numId w:val="8"/>
        </w:numPr>
      </w:pPr>
      <w:r w:rsidRPr="00330A66">
        <w:rPr>
          <w:b/>
          <w:bCs/>
        </w:rPr>
        <w:t>Value-creation thesis:</w:t>
      </w:r>
      <w:r w:rsidRPr="00330A66">
        <w:t xml:space="preserve"> Move Aidoc from a collection of imaging algorithms toward a hospital-wide intelligence layer covering multiple service lines and multidisciplinary care coordination. TCV’s published investment rationale highlights the combination of regulated algorithms, workflow integration and cross-specialty coordination rather than algorithm accuracy alone. </w:t>
      </w:r>
      <w:hyperlink r:id="rId55" w:history="1">
        <w:r w:rsidRPr="00330A66">
          <w:rPr>
            <w:rStyle w:val="Hyperlink"/>
          </w:rPr>
          <w:t>[tcv.com]</w:t>
        </w:r>
      </w:hyperlink>
    </w:p>
    <w:p w14:paraId="50ECED35" w14:textId="77777777" w:rsidR="00330A66" w:rsidRPr="00330A66" w:rsidRDefault="00330A66" w:rsidP="00330A66">
      <w:pPr>
        <w:rPr>
          <w:b/>
          <w:bCs/>
        </w:rPr>
      </w:pPr>
      <w:r w:rsidRPr="00330A66">
        <w:rPr>
          <w:b/>
          <w:bCs/>
        </w:rPr>
        <w:t>360 ONE Asset, HealthQuad and other growth investors in Qure.ai</w:t>
      </w:r>
    </w:p>
    <w:p w14:paraId="2C54D961" w14:textId="77777777" w:rsidR="00330A66" w:rsidRPr="00330A66" w:rsidRDefault="00330A66" w:rsidP="00330A66">
      <w:pPr>
        <w:numPr>
          <w:ilvl w:val="0"/>
          <w:numId w:val="9"/>
        </w:numPr>
      </w:pPr>
      <w:r w:rsidRPr="00330A66">
        <w:rPr>
          <w:b/>
          <w:bCs/>
        </w:rPr>
        <w:lastRenderedPageBreak/>
        <w:t>Deal:</w:t>
      </w:r>
      <w:r w:rsidRPr="00330A66">
        <w:t xml:space="preserve"> Qure.ai raised US$65 million in September 2024 in a round led by Lightspeed and 360 ONE Asset, with participation from HealthQuad and other investors. Stakes were not disclosed. </w:t>
      </w:r>
      <w:hyperlink r:id="rId56" w:history="1">
        <w:r w:rsidRPr="00330A66">
          <w:rPr>
            <w:rStyle w:val="Hyperlink"/>
          </w:rPr>
          <w:t>[qure.ai]</w:t>
        </w:r>
      </w:hyperlink>
    </w:p>
    <w:p w14:paraId="4E2430E2" w14:textId="77777777" w:rsidR="00330A66" w:rsidRPr="00330A66" w:rsidRDefault="00330A66" w:rsidP="00330A66">
      <w:pPr>
        <w:numPr>
          <w:ilvl w:val="0"/>
          <w:numId w:val="9"/>
        </w:numPr>
      </w:pPr>
      <w:r w:rsidRPr="00330A66">
        <w:rPr>
          <w:b/>
          <w:bCs/>
        </w:rPr>
        <w:t>Value-creation thesis:</w:t>
      </w:r>
      <w:r w:rsidRPr="00330A66">
        <w:t xml:space="preserve"> Expand in the US and other markets, invest in foundation models and acquire complementary medtech companies. The investor commentary emphasised using AI to address radiologist shortages, screening backlogs and delayed diagnosis in TB, lung cancer and stroke. </w:t>
      </w:r>
      <w:hyperlink r:id="rId57" w:history="1">
        <w:r w:rsidRPr="00330A66">
          <w:rPr>
            <w:rStyle w:val="Hyperlink"/>
          </w:rPr>
          <w:t>[qure.ai]</w:t>
        </w:r>
      </w:hyperlink>
    </w:p>
    <w:p w14:paraId="5D74355A" w14:textId="77777777" w:rsidR="00330A66" w:rsidRPr="00330A66" w:rsidRDefault="00330A66" w:rsidP="00330A66">
      <w:pPr>
        <w:rPr>
          <w:b/>
          <w:bCs/>
        </w:rPr>
      </w:pPr>
      <w:r w:rsidRPr="00330A66">
        <w:rPr>
          <w:b/>
          <w:bCs/>
        </w:rPr>
        <w:t>6. Regulatory Context (US + India)</w:t>
      </w:r>
    </w:p>
    <w:p w14:paraId="4E2FA313" w14:textId="77777777" w:rsidR="00330A66" w:rsidRPr="00330A66" w:rsidRDefault="00330A66" w:rsidP="00330A66">
      <w:pPr>
        <w:rPr>
          <w:b/>
          <w:bCs/>
        </w:rPr>
      </w:pPr>
      <w:r w:rsidRPr="00330A66">
        <w:rPr>
          <w:b/>
          <w:bCs/>
        </w:rPr>
        <w:t>United States</w:t>
      </w:r>
    </w:p>
    <w:p w14:paraId="148FE087" w14:textId="77777777" w:rsidR="00330A66" w:rsidRPr="00330A66" w:rsidRDefault="00330A66" w:rsidP="00330A66">
      <w:pPr>
        <w:rPr>
          <w:b/>
          <w:bCs/>
        </w:rPr>
      </w:pPr>
      <w:r w:rsidRPr="00330A66">
        <w:rPr>
          <w:b/>
          <w:bCs/>
        </w:rPr>
        <w:t>FDA device versus non-device CDS boundary</w:t>
      </w:r>
    </w:p>
    <w:p w14:paraId="6EA55F9A" w14:textId="77777777" w:rsidR="00330A66" w:rsidRPr="00330A66" w:rsidRDefault="00330A66" w:rsidP="00330A66">
      <w:r w:rsidRPr="00330A66">
        <w:t xml:space="preserve">Section 520(o)(1)(E) of the Federal Food, Drug, and Cosmetic Act excludes certain healthcare-professional CDS functions from the definition of a medical device when the statutory criteria are met. The FDA’s final CDS guidance, issued on 29 January 2026, clarifies which clinician-facing CDS functions qualify as non-device </w:t>
      </w:r>
      <w:proofErr w:type="gramStart"/>
      <w:r w:rsidRPr="00330A66">
        <w:t>CDS</w:t>
      </w:r>
      <w:proofErr w:type="gramEnd"/>
      <w:r w:rsidRPr="00330A66">
        <w:t xml:space="preserve"> and which remain regulated device software. Patient- or caregiver-facing functions that meet the device definition remain subject to the FDA’s digital-health policies. </w:t>
      </w:r>
      <w:hyperlink r:id="rId58" w:history="1">
        <w:r w:rsidRPr="00330A66">
          <w:rPr>
            <w:rStyle w:val="Hyperlink"/>
          </w:rPr>
          <w:t>[fda.gov]</w:t>
        </w:r>
      </w:hyperlink>
    </w:p>
    <w:p w14:paraId="59517880" w14:textId="77777777" w:rsidR="00330A66" w:rsidRPr="00330A66" w:rsidRDefault="00330A66" w:rsidP="00330A66">
      <w:r w:rsidRPr="00330A66">
        <w:t>For investors, products that provide ranked, opaque or time-critical recommendations are more likely to require regulatory review than transparent tools that let healthcare professionals independently review the basis of a recommendation.</w:t>
      </w:r>
    </w:p>
    <w:p w14:paraId="2588B386" w14:textId="77777777" w:rsidR="00330A66" w:rsidRPr="00330A66" w:rsidRDefault="00330A66" w:rsidP="00330A66">
      <w:pPr>
        <w:rPr>
          <w:b/>
          <w:bCs/>
        </w:rPr>
      </w:pPr>
      <w:r w:rsidRPr="00330A66">
        <w:rPr>
          <w:b/>
          <w:bCs/>
        </w:rPr>
        <w:t>Premarket pathways and lifecycle obligations</w:t>
      </w:r>
    </w:p>
    <w:p w14:paraId="085BDA2C" w14:textId="77777777" w:rsidR="00330A66" w:rsidRPr="00330A66" w:rsidRDefault="00330A66" w:rsidP="00330A66">
      <w:r w:rsidRPr="00330A66">
        <w:t xml:space="preserve">Regulated AI-CDS may enter through 510(k), De Novo or PMA pathways depending on risk and predicate availability. In August 2025, the FDA issued final recommendations for predetermined change-control plans. A PCCP can identify planned model modifications, the validation methodology and impact assessment, enabling approved updates without a separate marketing submission for each modification covered by the plan. </w:t>
      </w:r>
      <w:hyperlink r:id="rId59" w:history="1">
        <w:r w:rsidRPr="00330A66">
          <w:rPr>
            <w:rStyle w:val="Hyperlink"/>
          </w:rPr>
          <w:t>[fda.gov]</w:t>
        </w:r>
      </w:hyperlink>
    </w:p>
    <w:p w14:paraId="46CD9031" w14:textId="77777777" w:rsidR="00330A66" w:rsidRPr="00330A66" w:rsidRDefault="00330A66" w:rsidP="00330A66">
      <w:r w:rsidRPr="00330A66">
        <w:t xml:space="preserve">The FDA also issued draft lifecycle guidance in January 2025 covering design, development, transparency, bias, documentation and post-market performance management for AI-enabled devices. As of the cited announcement, this remained draft guidance. </w:t>
      </w:r>
      <w:hyperlink r:id="rId60" w:history="1">
        <w:r w:rsidRPr="00330A66">
          <w:rPr>
            <w:rStyle w:val="Hyperlink"/>
          </w:rPr>
          <w:t>[fda.gov]</w:t>
        </w:r>
      </w:hyperlink>
    </w:p>
    <w:p w14:paraId="57218935" w14:textId="77777777" w:rsidR="00330A66" w:rsidRPr="00330A66" w:rsidRDefault="00330A66" w:rsidP="00330A66">
      <w:pPr>
        <w:rPr>
          <w:b/>
          <w:bCs/>
        </w:rPr>
      </w:pPr>
      <w:r w:rsidRPr="00330A66">
        <w:rPr>
          <w:b/>
          <w:bCs/>
        </w:rPr>
        <w:t>ONC/ASTP algorithm transparency</w:t>
      </w:r>
    </w:p>
    <w:p w14:paraId="3C999530" w14:textId="77777777" w:rsidR="00330A66" w:rsidRPr="00330A66" w:rsidRDefault="00330A66" w:rsidP="00330A66">
      <w:r w:rsidRPr="00330A66">
        <w:t xml:space="preserve">The HTI-1 Final Rule replaces the older CDS certification criterion with a Decision Support Intervention criterion and introduces transparency requirements for applicable predictive algorithms within certified health IT. It also adopts USCDI Version 3 as the baseline interoperability standard from 1 January 2026. </w:t>
      </w:r>
      <w:hyperlink r:id="rId61" w:history="1">
        <w:r w:rsidRPr="00330A66">
          <w:rPr>
            <w:rStyle w:val="Hyperlink"/>
          </w:rPr>
          <w:t>[healthit.gov]</w:t>
        </w:r>
      </w:hyperlink>
    </w:p>
    <w:p w14:paraId="6AFD3198" w14:textId="77777777" w:rsidR="00330A66" w:rsidRPr="00330A66" w:rsidRDefault="00330A66" w:rsidP="00330A66">
      <w:r w:rsidRPr="00330A66">
        <w:lastRenderedPageBreak/>
        <w:t>This favours vendors with auditable training-data descriptions, performance documentation, risk-management processes and standards-based EHR integration. It increases compliance cost for opaque models but may improve procurement acceptance for well-governed products.</w:t>
      </w:r>
    </w:p>
    <w:p w14:paraId="0E648849" w14:textId="77777777" w:rsidR="00330A66" w:rsidRPr="00330A66" w:rsidRDefault="00330A66" w:rsidP="00330A66">
      <w:pPr>
        <w:rPr>
          <w:b/>
          <w:bCs/>
        </w:rPr>
      </w:pPr>
      <w:r w:rsidRPr="00330A66">
        <w:rPr>
          <w:b/>
          <w:bCs/>
        </w:rPr>
        <w:t>India</w:t>
      </w:r>
    </w:p>
    <w:p w14:paraId="41CD19EF" w14:textId="77777777" w:rsidR="00330A66" w:rsidRPr="00330A66" w:rsidRDefault="00330A66" w:rsidP="00330A66">
      <w:pPr>
        <w:rPr>
          <w:b/>
          <w:bCs/>
        </w:rPr>
      </w:pPr>
      <w:r w:rsidRPr="00330A66">
        <w:rPr>
          <w:b/>
          <w:bCs/>
        </w:rPr>
        <w:t>CDSCO and Medical Devices Rules</w:t>
      </w:r>
    </w:p>
    <w:p w14:paraId="7468AF40" w14:textId="77777777" w:rsidR="00330A66" w:rsidRPr="00330A66" w:rsidRDefault="00330A66" w:rsidP="00330A66">
      <w:r w:rsidRPr="00330A66">
        <w:t xml:space="preserve">Medical software that independently performs a medical purpose may be regulated as Software as a Medical Device under the Medical Devices Rules, 2017. CDSCO’s medical-device-software guidance covers scope, intended-use statements, Classes A–D risk classification, quality-management systems, standards, clinical investigation, import/manufacturing licensing, post-market surveillance, algorithm-change protocols and cybersecurity. </w:t>
      </w:r>
      <w:hyperlink r:id="rId62" w:history="1">
        <w:r w:rsidRPr="00330A66">
          <w:rPr>
            <w:rStyle w:val="Hyperlink"/>
          </w:rPr>
          <w:t>[cdsco.gov.in]</w:t>
        </w:r>
      </w:hyperlink>
    </w:p>
    <w:p w14:paraId="6F182AC0" w14:textId="77777777" w:rsidR="00330A66" w:rsidRPr="00330A66" w:rsidRDefault="00330A66" w:rsidP="00330A66">
      <w:r w:rsidRPr="00330A66">
        <w:t xml:space="preserve">The guidance was released for stakeholder comment on 21 October 2025 and was described as clarifying existing MDR 2017 requirements rather than creating a new regulatory control. </w:t>
      </w:r>
      <w:r w:rsidRPr="00330A66">
        <w:rPr>
          <w:b/>
          <w:bCs/>
        </w:rPr>
        <w:t>Confidence flag:</w:t>
      </w:r>
      <w:r w:rsidRPr="00330A66">
        <w:t xml:space="preserve"> publicly available legal commentary as of January 2026 continued to describe it as draft guidance; investors should verify whether a subsequently finalised version has been formally notified before relying on it as binding guidance. </w:t>
      </w:r>
      <w:hyperlink r:id="rId63" w:history="1">
        <w:r w:rsidRPr="00330A66">
          <w:rPr>
            <w:rStyle w:val="Hyperlink"/>
          </w:rPr>
          <w:t>[macecorpn.com]</w:t>
        </w:r>
      </w:hyperlink>
      <w:r w:rsidRPr="00330A66">
        <w:t xml:space="preserve">, </w:t>
      </w:r>
      <w:hyperlink r:id="rId64" w:history="1">
        <w:r w:rsidRPr="00330A66">
          <w:rPr>
            <w:rStyle w:val="Hyperlink"/>
          </w:rPr>
          <w:t>[corporate</w:t>
        </w:r>
        <w:proofErr w:type="gramStart"/>
        <w:r w:rsidRPr="00330A66">
          <w:rPr>
            <w:rStyle w:val="Hyperlink"/>
          </w:rPr>
          <w:t>....dblogs.com</w:t>
        </w:r>
        <w:proofErr w:type="gramEnd"/>
        <w:r w:rsidRPr="00330A66">
          <w:rPr>
            <w:rStyle w:val="Hyperlink"/>
          </w:rPr>
          <w:t>]</w:t>
        </w:r>
      </w:hyperlink>
    </w:p>
    <w:p w14:paraId="0D2CF560" w14:textId="77777777" w:rsidR="00330A66" w:rsidRPr="00330A66" w:rsidRDefault="00330A66" w:rsidP="00330A66">
      <w:r w:rsidRPr="00330A66">
        <w:t xml:space="preserve">Unlike the FDA, CDSCO does not provide an easily usable consolidated public list of AI-enabled devices. This makes </w:t>
      </w:r>
      <w:proofErr w:type="gramStart"/>
      <w:r w:rsidRPr="00330A66">
        <w:t>clearance</w:t>
      </w:r>
      <w:proofErr w:type="gramEnd"/>
      <w:r w:rsidRPr="00330A66">
        <w:t xml:space="preserve"> landscaping and competitor diligence more manual.</w:t>
      </w:r>
    </w:p>
    <w:p w14:paraId="10CE0D77" w14:textId="77777777" w:rsidR="00330A66" w:rsidRPr="00330A66" w:rsidRDefault="00330A66" w:rsidP="00330A66">
      <w:pPr>
        <w:rPr>
          <w:b/>
          <w:bCs/>
        </w:rPr>
      </w:pPr>
      <w:r w:rsidRPr="00330A66">
        <w:rPr>
          <w:b/>
          <w:bCs/>
        </w:rPr>
        <w:t>Data protection</w:t>
      </w:r>
    </w:p>
    <w:p w14:paraId="4BE73A70" w14:textId="77777777" w:rsidR="00330A66" w:rsidRPr="00330A66" w:rsidRDefault="00330A66" w:rsidP="00330A66">
      <w:r w:rsidRPr="00330A66">
        <w:t xml:space="preserve">India notified the Digital Personal Data Protection Rules on 14 November 2025, operationalising the Digital Personal Data Protection Act, 2023 through a phased framework. The regime governs the collection and processing of digital personal data and establishes obligations for data fiduciaries, consent and individual rights. </w:t>
      </w:r>
      <w:hyperlink r:id="rId65" w:history="1">
        <w:r w:rsidRPr="00330A66">
          <w:rPr>
            <w:rStyle w:val="Hyperlink"/>
          </w:rPr>
          <w:t>[static.pib.gov.in]</w:t>
        </w:r>
      </w:hyperlink>
    </w:p>
    <w:p w14:paraId="00B9BAF9" w14:textId="77777777" w:rsidR="00330A66" w:rsidRPr="00330A66" w:rsidRDefault="00330A66" w:rsidP="00330A66">
      <w:r w:rsidRPr="00330A66">
        <w:t xml:space="preserve">The implementation schedule is phased, with several core processing, consent, security and data-principal provisions scheduled for March 2027. This creates a near-term compliance build requirement for AI-CDS vendors and hospitals using identifiable clinical data. </w:t>
      </w:r>
      <w:hyperlink r:id="rId66" w:history="1">
        <w:r w:rsidRPr="00330A66">
          <w:rPr>
            <w:rStyle w:val="Hyperlink"/>
          </w:rPr>
          <w:t>[dsci.in]</w:t>
        </w:r>
      </w:hyperlink>
    </w:p>
    <w:p w14:paraId="7046A597" w14:textId="77777777" w:rsidR="00330A66" w:rsidRPr="00330A66" w:rsidRDefault="00330A66" w:rsidP="00330A66">
      <w:pPr>
        <w:rPr>
          <w:b/>
          <w:bCs/>
        </w:rPr>
      </w:pPr>
      <w:r w:rsidRPr="00330A66">
        <w:rPr>
          <w:b/>
          <w:bCs/>
        </w:rPr>
        <w:t>7. Risk Factors</w:t>
      </w:r>
    </w:p>
    <w:p w14:paraId="614B8877" w14:textId="77777777" w:rsidR="00330A66" w:rsidRPr="00330A66" w:rsidRDefault="00330A66" w:rsidP="00330A66">
      <w:pPr>
        <w:numPr>
          <w:ilvl w:val="0"/>
          <w:numId w:val="10"/>
        </w:numPr>
      </w:pPr>
      <w:r w:rsidRPr="00330A66">
        <w:rPr>
          <w:b/>
          <w:bCs/>
        </w:rPr>
        <w:t>FDA reclassification can damage a low-regulation business model.</w:t>
      </w:r>
      <w:r w:rsidRPr="00330A66">
        <w:t xml:space="preserve"> A vendor may design a clinician-facing product on the assumption that it is non-device CDS. </w:t>
      </w:r>
      <w:r w:rsidRPr="00330A66">
        <w:lastRenderedPageBreak/>
        <w:t xml:space="preserve">If the software provides an opaque, ranked or time-critical recommendation that the clinician cannot independently review, it may fall inside device oversight, triggering clinical validation, quality-system and submission costs. </w:t>
      </w:r>
      <w:proofErr w:type="gramStart"/>
      <w:r w:rsidRPr="00330A66">
        <w:t>The January</w:t>
      </w:r>
      <w:proofErr w:type="gramEnd"/>
      <w:r w:rsidRPr="00330A66">
        <w:t xml:space="preserve"> 2026 FDA guidance makes product wording and intended use central to this boundary. </w:t>
      </w:r>
      <w:hyperlink r:id="rId67" w:history="1">
        <w:r w:rsidRPr="00330A66">
          <w:rPr>
            <w:rStyle w:val="Hyperlink"/>
          </w:rPr>
          <w:t>[fda.gov]</w:t>
        </w:r>
      </w:hyperlink>
    </w:p>
    <w:p w14:paraId="29BF374A" w14:textId="77777777" w:rsidR="00330A66" w:rsidRPr="00330A66" w:rsidRDefault="00330A66" w:rsidP="00330A66">
      <w:pPr>
        <w:numPr>
          <w:ilvl w:val="0"/>
          <w:numId w:val="10"/>
        </w:numPr>
      </w:pPr>
      <w:r w:rsidRPr="00330A66">
        <w:rPr>
          <w:b/>
          <w:bCs/>
        </w:rPr>
        <w:t>Performance drift can create both safety liability and recurring compliance expense.</w:t>
      </w:r>
      <w:r w:rsidRPr="00330A66">
        <w:t xml:space="preserve"> Changes in disease prevalence, imaging equipment, hospital protocols or patient mix may degrade model performance after deployment. FDA PCCP guidance facilitates controlled updates, but vendors still need predefined modification, validation and impact-assessment processes. A company without robust monitoring can lose clearance, hospital trust or insurance coverage following an adverse event. </w:t>
      </w:r>
      <w:hyperlink r:id="rId68" w:history="1">
        <w:r w:rsidRPr="00330A66">
          <w:rPr>
            <w:rStyle w:val="Hyperlink"/>
          </w:rPr>
          <w:t>[fda.gov]</w:t>
        </w:r>
      </w:hyperlink>
    </w:p>
    <w:p w14:paraId="27B8E79A" w14:textId="77777777" w:rsidR="00330A66" w:rsidRPr="00330A66" w:rsidRDefault="00330A66" w:rsidP="00330A66">
      <w:pPr>
        <w:numPr>
          <w:ilvl w:val="0"/>
          <w:numId w:val="10"/>
        </w:numPr>
      </w:pPr>
      <w:r w:rsidRPr="00330A66">
        <w:rPr>
          <w:b/>
          <w:bCs/>
        </w:rPr>
        <w:t>Distribution may be captured by EHR incumbents.</w:t>
      </w:r>
      <w:r w:rsidRPr="00330A66">
        <w:t xml:space="preserve"> Epic, Oracle and athenahealth control the workflow surface through which clinicians receive recommendations. A standalone vendor may demonstrate strong model accuracy but still face long integration cycles, marketplace fees, restricted data access or displacement by an EHR-native alternative. Integrated CDSS represented 58.23% of revenue in Mordor Intelligence’s 2025 software taxonomy. </w:t>
      </w:r>
      <w:hyperlink r:id="rId69" w:history="1">
        <w:r w:rsidRPr="00330A66">
          <w:rPr>
            <w:rStyle w:val="Hyperlink"/>
          </w:rPr>
          <w:t>[mordorinte...igence.com]</w:t>
        </w:r>
      </w:hyperlink>
    </w:p>
    <w:p w14:paraId="7B99D0FD" w14:textId="77777777" w:rsidR="00330A66" w:rsidRPr="00330A66" w:rsidRDefault="00330A66" w:rsidP="00330A66">
      <w:pPr>
        <w:numPr>
          <w:ilvl w:val="0"/>
          <w:numId w:val="10"/>
        </w:numPr>
      </w:pPr>
      <w:r w:rsidRPr="00330A66">
        <w:rPr>
          <w:b/>
          <w:bCs/>
        </w:rPr>
        <w:t>Alert fatigue can destroy real-world adoption despite regulatory clearance.</w:t>
      </w:r>
      <w:r w:rsidRPr="00330A66">
        <w:t xml:space="preserve"> A product that produces too many low-value alerts may be ignored, disabled or excluded from renewal. Regulatory authorisation demonstrates safety and performance for </w:t>
      </w:r>
      <w:proofErr w:type="gramStart"/>
      <w:r w:rsidRPr="00330A66">
        <w:t>an intended</w:t>
      </w:r>
      <w:proofErr w:type="gramEnd"/>
      <w:r w:rsidRPr="00330A66">
        <w:t xml:space="preserve"> use; it does not prove that clinicians will act on outputs or that the hospital will realise financial value.</w:t>
      </w:r>
    </w:p>
    <w:p w14:paraId="56F37624" w14:textId="77777777" w:rsidR="00330A66" w:rsidRPr="00330A66" w:rsidRDefault="00330A66" w:rsidP="00330A66">
      <w:pPr>
        <w:numPr>
          <w:ilvl w:val="0"/>
          <w:numId w:val="10"/>
        </w:numPr>
      </w:pPr>
      <w:r w:rsidRPr="00330A66">
        <w:rPr>
          <w:b/>
          <w:bCs/>
        </w:rPr>
        <w:t>India scale may not translate into attractive software economics.</w:t>
      </w:r>
      <w:r w:rsidRPr="00330A66">
        <w:t xml:space="preserve"> Statewide programmes can generate large screening volumes and meaningful health outcomes, but public procurement, implementation requirements and lower per-study pricing may limit recurring revenue and gross margin. Qure.ai’s state deployments demonstrate production scale, but the public disclosures do not provide contract revenue or unit economics. </w:t>
      </w:r>
      <w:hyperlink r:id="rId70" w:history="1">
        <w:r w:rsidRPr="00330A66">
          <w:rPr>
            <w:rStyle w:val="Hyperlink"/>
          </w:rPr>
          <w:t>[qure.ai]</w:t>
        </w:r>
      </w:hyperlink>
    </w:p>
    <w:p w14:paraId="55082336" w14:textId="77777777" w:rsidR="00330A66" w:rsidRPr="00330A66" w:rsidRDefault="00330A66" w:rsidP="00330A66">
      <w:pPr>
        <w:rPr>
          <w:b/>
          <w:bCs/>
        </w:rPr>
      </w:pPr>
      <w:r w:rsidRPr="00330A66">
        <w:rPr>
          <w:b/>
          <w:bCs/>
        </w:rPr>
        <w:t>8. PE Attractiveness Verdict</w:t>
      </w:r>
    </w:p>
    <w:p w14:paraId="343BAA2E" w14:textId="77777777" w:rsidR="00330A66" w:rsidRPr="00330A66" w:rsidRDefault="00330A66" w:rsidP="00330A66">
      <w:r w:rsidRPr="00330A66">
        <w:rPr>
          <w:b/>
          <w:bCs/>
        </w:rPr>
        <w:t>Selective.</w:t>
      </w:r>
      <w:r w:rsidRPr="00330A66">
        <w:t xml:space="preserve"> Clinical decision support is investable today where a company has a clearly bounded clinical use case, production deployment across multiple health systems, regulatory clearance where required, deep EHR integration and measurable workflow or economic outcomes. Radiology triage, medication safety, cost-aware ordering and disease-specific screening meet these conditions most consistently. The segment is less </w:t>
      </w:r>
      <w:r w:rsidRPr="00330A66">
        <w:lastRenderedPageBreak/>
        <w:t>attractive where the proposition depends on a general-purpose generative model, unproven autonomous recommendations or pilot announcements without recurring production usage. For PE, the strongest opportunities are scaled platforms or specialist leaders that can consolidate adjacent algorithms, distribute through established EHR relationships and spread regulatory and integration costs across multiple indications. India offers faster forecast growth and strong public-health deployment opportunities, but smaller market size and uncertain monetisation support a partnership or export-led strategy rather than a domestic-only buyout thesis.</w:t>
      </w:r>
    </w:p>
    <w:p w14:paraId="265C26A4" w14:textId="77777777" w:rsidR="00AE71F0" w:rsidRDefault="00AE71F0"/>
    <w:sectPr w:rsidR="00AE7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C041A"/>
    <w:multiLevelType w:val="multilevel"/>
    <w:tmpl w:val="3732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0904BC"/>
    <w:multiLevelType w:val="multilevel"/>
    <w:tmpl w:val="7F8A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EC7E48"/>
    <w:multiLevelType w:val="multilevel"/>
    <w:tmpl w:val="ACC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D7F2B"/>
    <w:multiLevelType w:val="multilevel"/>
    <w:tmpl w:val="AC3C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196DF7"/>
    <w:multiLevelType w:val="multilevel"/>
    <w:tmpl w:val="C1F8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2D0470"/>
    <w:multiLevelType w:val="multilevel"/>
    <w:tmpl w:val="F95A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A0699C"/>
    <w:multiLevelType w:val="multilevel"/>
    <w:tmpl w:val="91EC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F3750F"/>
    <w:multiLevelType w:val="multilevel"/>
    <w:tmpl w:val="24CE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6647B6"/>
    <w:multiLevelType w:val="multilevel"/>
    <w:tmpl w:val="B14E9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EA4272"/>
    <w:multiLevelType w:val="multilevel"/>
    <w:tmpl w:val="9372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469905">
    <w:abstractNumId w:val="5"/>
  </w:num>
  <w:num w:numId="2" w16cid:durableId="1887909713">
    <w:abstractNumId w:val="3"/>
  </w:num>
  <w:num w:numId="3" w16cid:durableId="1376537785">
    <w:abstractNumId w:val="4"/>
  </w:num>
  <w:num w:numId="4" w16cid:durableId="2013559631">
    <w:abstractNumId w:val="0"/>
  </w:num>
  <w:num w:numId="5" w16cid:durableId="329261413">
    <w:abstractNumId w:val="6"/>
  </w:num>
  <w:num w:numId="6" w16cid:durableId="1803763068">
    <w:abstractNumId w:val="7"/>
  </w:num>
  <w:num w:numId="7" w16cid:durableId="1770541583">
    <w:abstractNumId w:val="9"/>
  </w:num>
  <w:num w:numId="8" w16cid:durableId="1646617460">
    <w:abstractNumId w:val="2"/>
  </w:num>
  <w:num w:numId="9" w16cid:durableId="977732000">
    <w:abstractNumId w:val="1"/>
  </w:num>
  <w:num w:numId="10" w16cid:durableId="5330769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66"/>
    <w:rsid w:val="000B6152"/>
    <w:rsid w:val="00330A66"/>
    <w:rsid w:val="00513609"/>
    <w:rsid w:val="00AE71F0"/>
    <w:rsid w:val="00CB6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1B642"/>
  <w15:chartTrackingRefBased/>
  <w15:docId w15:val="{CE33BEEE-7FEC-4B4D-8272-06B0E2547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A66"/>
    <w:rPr>
      <w:rFonts w:eastAsiaTheme="majorEastAsia" w:cstheme="majorBidi"/>
      <w:color w:val="272727" w:themeColor="text1" w:themeTint="D8"/>
    </w:rPr>
  </w:style>
  <w:style w:type="paragraph" w:styleId="Title">
    <w:name w:val="Title"/>
    <w:basedOn w:val="Normal"/>
    <w:next w:val="Normal"/>
    <w:link w:val="TitleChar"/>
    <w:uiPriority w:val="10"/>
    <w:qFormat/>
    <w:rsid w:val="0033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A66"/>
    <w:pPr>
      <w:spacing w:before="160"/>
      <w:jc w:val="center"/>
    </w:pPr>
    <w:rPr>
      <w:i/>
      <w:iCs/>
      <w:color w:val="404040" w:themeColor="text1" w:themeTint="BF"/>
    </w:rPr>
  </w:style>
  <w:style w:type="character" w:customStyle="1" w:styleId="QuoteChar">
    <w:name w:val="Quote Char"/>
    <w:basedOn w:val="DefaultParagraphFont"/>
    <w:link w:val="Quote"/>
    <w:uiPriority w:val="29"/>
    <w:rsid w:val="00330A66"/>
    <w:rPr>
      <w:i/>
      <w:iCs/>
      <w:color w:val="404040" w:themeColor="text1" w:themeTint="BF"/>
    </w:rPr>
  </w:style>
  <w:style w:type="paragraph" w:styleId="ListParagraph">
    <w:name w:val="List Paragraph"/>
    <w:basedOn w:val="Normal"/>
    <w:uiPriority w:val="34"/>
    <w:qFormat/>
    <w:rsid w:val="00330A66"/>
    <w:pPr>
      <w:ind w:left="720"/>
      <w:contextualSpacing/>
    </w:pPr>
  </w:style>
  <w:style w:type="character" w:styleId="IntenseEmphasis">
    <w:name w:val="Intense Emphasis"/>
    <w:basedOn w:val="DefaultParagraphFont"/>
    <w:uiPriority w:val="21"/>
    <w:qFormat/>
    <w:rsid w:val="00330A66"/>
    <w:rPr>
      <w:i/>
      <w:iCs/>
      <w:color w:val="0F4761" w:themeColor="accent1" w:themeShade="BF"/>
    </w:rPr>
  </w:style>
  <w:style w:type="paragraph" w:styleId="IntenseQuote">
    <w:name w:val="Intense Quote"/>
    <w:basedOn w:val="Normal"/>
    <w:next w:val="Normal"/>
    <w:link w:val="IntenseQuoteChar"/>
    <w:uiPriority w:val="30"/>
    <w:qFormat/>
    <w:rsid w:val="0033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A66"/>
    <w:rPr>
      <w:i/>
      <w:iCs/>
      <w:color w:val="0F4761" w:themeColor="accent1" w:themeShade="BF"/>
    </w:rPr>
  </w:style>
  <w:style w:type="character" w:styleId="IntenseReference">
    <w:name w:val="Intense Reference"/>
    <w:basedOn w:val="DefaultParagraphFont"/>
    <w:uiPriority w:val="32"/>
    <w:qFormat/>
    <w:rsid w:val="00330A66"/>
    <w:rPr>
      <w:b/>
      <w:bCs/>
      <w:smallCaps/>
      <w:color w:val="0F4761" w:themeColor="accent1" w:themeShade="BF"/>
      <w:spacing w:val="5"/>
    </w:rPr>
  </w:style>
  <w:style w:type="character" w:styleId="Hyperlink">
    <w:name w:val="Hyperlink"/>
    <w:basedOn w:val="DefaultParagraphFont"/>
    <w:uiPriority w:val="99"/>
    <w:unhideWhenUsed/>
    <w:rsid w:val="00330A66"/>
    <w:rPr>
      <w:color w:val="467886" w:themeColor="hyperlink"/>
      <w:u w:val="single"/>
    </w:rPr>
  </w:style>
  <w:style w:type="character" w:styleId="UnresolvedMention">
    <w:name w:val="Unresolved Mention"/>
    <w:basedOn w:val="DefaultParagraphFont"/>
    <w:uiPriority w:val="99"/>
    <w:semiHidden/>
    <w:unhideWhenUsed/>
    <w:rsid w:val="00330A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idoc.com/about/news/aidoc-secures-150m-for-its-healthcare-foundation-model/" TargetMode="External"/><Relationship Id="rId21" Type="http://schemas.openxmlformats.org/officeDocument/2006/relationships/hyperlink" Target="https://www.premierinc.com/newsroom/premier-inc-expands-clinical-decision-support-cds-capabilities-with-acquisition-of-illumicare" TargetMode="External"/><Relationship Id="rId42" Type="http://schemas.openxmlformats.org/officeDocument/2006/relationships/hyperlink" Target="https://patientsquarecapital.com/patient-square-capital-completes-acquisition-of-premier-inc/" TargetMode="External"/><Relationship Id="rId47" Type="http://schemas.openxmlformats.org/officeDocument/2006/relationships/hyperlink" Target="https://www.premierinc.com/newsroom/premier-inc-expands-clinical-decision-support-cds-capabilities-with-acquisition-of-illumicare" TargetMode="External"/><Relationship Id="rId63" Type="http://schemas.openxmlformats.org/officeDocument/2006/relationships/hyperlink" Target="https://macecorpn.com/whats-new/cdsco-draft-guidance-medical-device-software-samd-simd-2025" TargetMode="External"/><Relationship Id="rId68" Type="http://schemas.openxmlformats.org/officeDocument/2006/relationships/hyperlink" Target="https://www.fda.gov/regulatory-information/search-fda-guidance-documents/marketing-submission-recommendations-predetermined-change-control-plan-artificial-intelligence" TargetMode="External"/><Relationship Id="rId7" Type="http://schemas.openxmlformats.org/officeDocument/2006/relationships/hyperlink" Target="https://www.marketsandmarkets.com/Market-Reports/geography/clinical-decision-support-systems-market/us"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idoc.com/about/news/aidoc-secures-150m-for-its-healthcare-foundation-model/" TargetMode="External"/><Relationship Id="rId29" Type="http://schemas.openxmlformats.org/officeDocument/2006/relationships/hyperlink" Target="https://www.qure.ai/us/news-press-coverages/qure-ai-gets-series-d-funding-to-expand-healthcare-ai" TargetMode="External"/><Relationship Id="rId11" Type="http://schemas.openxmlformats.org/officeDocument/2006/relationships/hyperlink" Target="https://www.marketsandmarkets.com/Market-Reports/geography/clinical-decision-support-systems-market/us" TargetMode="External"/><Relationship Id="rId24" Type="http://schemas.openxmlformats.org/officeDocument/2006/relationships/hyperlink" Target="https://www.aidoc.com/about/news/aidoc-secures-150m-for-its-healthcare-foundation-model/" TargetMode="External"/><Relationship Id="rId32" Type="http://schemas.openxmlformats.org/officeDocument/2006/relationships/hyperlink" Target="https://www.wolterskluwer.com/en/expert-insights/uptodate-and-epic-collaborating-to-streamline-workflows-help-transform-patient-care" TargetMode="External"/><Relationship Id="rId37" Type="http://schemas.openxmlformats.org/officeDocument/2006/relationships/hyperlink" Target="https://www.onepeak.tech/insights/infermedica-raises-usd30-million-series-b-funding-from-one-peak-to-expand-ai-driven-medical-guidance-platform" TargetMode="External"/><Relationship Id="rId40" Type="http://schemas.openxmlformats.org/officeDocument/2006/relationships/hyperlink" Target="https://www.premierinc.com/newsroom/premier-inc-expands-clinical-decision-support-cds-capabilities-with-acquisition-of-illumicare" TargetMode="External"/><Relationship Id="rId45" Type="http://schemas.openxmlformats.org/officeDocument/2006/relationships/hyperlink" Target="https://www.fda.gov/news-events/press-announcements/fda-issues-comprehensive-draft-guidance-developers-artificial-intelligence-enabled-medical-devices" TargetMode="External"/><Relationship Id="rId53" Type="http://schemas.openxmlformats.org/officeDocument/2006/relationships/hyperlink" Target="https://www.onepeak.tech/insights/infermedica-raises-usd30-million-series-b-funding-from-one-peak-to-expand-ai-driven-medical-guidance-platform" TargetMode="External"/><Relationship Id="rId58" Type="http://schemas.openxmlformats.org/officeDocument/2006/relationships/hyperlink" Target="https://www.fda.gov/regulatory-information/search-fda-guidance-documents/clinical-decision-support-software" TargetMode="External"/><Relationship Id="rId66" Type="http://schemas.openxmlformats.org/officeDocument/2006/relationships/hyperlink" Target="https://www.dsci.in/files/content/documents/2025/Digital-Personal-Data-Protection-Rules-2025.pdf" TargetMode="External"/><Relationship Id="rId5" Type="http://schemas.openxmlformats.org/officeDocument/2006/relationships/hyperlink" Target="https://www.mordorintelligence.com/industry-reports/ai-powered-clinical-decision-support-market" TargetMode="External"/><Relationship Id="rId61" Type="http://schemas.openxmlformats.org/officeDocument/2006/relationships/hyperlink" Target="https://www.healthit.gov/wp-content/uploads/2023/12/HTI-1_Gen-Overview_factsheet_508.pdf" TargetMode="External"/><Relationship Id="rId19" Type="http://schemas.openxmlformats.org/officeDocument/2006/relationships/hyperlink" Target="https://indiaai.qure.ai/" TargetMode="External"/><Relationship Id="rId14" Type="http://schemas.openxmlformats.org/officeDocument/2006/relationships/hyperlink" Target="https://www.qure.ai/us/news-press-coverages/qure-ai-gets-series-d-funding-to-expand-healthcare-ai" TargetMode="External"/><Relationship Id="rId22" Type="http://schemas.openxmlformats.org/officeDocument/2006/relationships/hyperlink" Target="https://www.athenahealth.com/about/press-releases/athenahealth-acquired-by-hellman-and-friedman-and-bain-capital" TargetMode="External"/><Relationship Id="rId27" Type="http://schemas.openxmlformats.org/officeDocument/2006/relationships/hyperlink" Target="https://pitchbook.com/profiles/company/227468-62" TargetMode="External"/><Relationship Id="rId30" Type="http://schemas.openxmlformats.org/officeDocument/2006/relationships/hyperlink" Target="https://tracxn.com/d/companies/qureai/__QfqJ14wDyhMbUvOibApm4cgaquEx22FBbT11aIuIIFc" TargetMode="External"/><Relationship Id="rId35" Type="http://schemas.openxmlformats.org/officeDocument/2006/relationships/hyperlink" Target="https://www.businesswire.com/news/home/20260730630389/en/Wolters-Kluwer-to-Help-Rural-Hospitals-and-FQHCs-Access-Top-Drug-Information-and-Patient-Education-Solutions-Integrated-With-Epic/" TargetMode="External"/><Relationship Id="rId43" Type="http://schemas.openxmlformats.org/officeDocument/2006/relationships/hyperlink" Target="https://www.mordorintelligence.com/industry-reports/clinical-decision-support-software-market" TargetMode="External"/><Relationship Id="rId48" Type="http://schemas.openxmlformats.org/officeDocument/2006/relationships/hyperlink" Target="https://patientsquarecapital.com/premier-inc-announces-definitive-agreement-to-be-acquired-by-patient-square-capital-in-transaction-valued-at-2-6-billion/" TargetMode="External"/><Relationship Id="rId56" Type="http://schemas.openxmlformats.org/officeDocument/2006/relationships/hyperlink" Target="https://www.qure.ai/us/news-press-coverages/qure-ai-gets-series-d-funding-to-expand-healthcare-ai" TargetMode="External"/><Relationship Id="rId64" Type="http://schemas.openxmlformats.org/officeDocument/2006/relationships/hyperlink" Target="https://corporate.cyrilamarchandblogs.com/2026/01/medical-device-as-software-has-cdsco-guidance-changed-the-rules/" TargetMode="External"/><Relationship Id="rId69" Type="http://schemas.openxmlformats.org/officeDocument/2006/relationships/hyperlink" Target="https://www.mordorintelligence.com/industry-reports/clinical-decision-support-software-market" TargetMode="External"/><Relationship Id="rId8" Type="http://schemas.openxmlformats.org/officeDocument/2006/relationships/hyperlink" Target="https://www.marketsandmarkets.com/Market-Reports/geography/clinical-decision-support-systems-market/india" TargetMode="External"/><Relationship Id="rId51" Type="http://schemas.openxmlformats.org/officeDocument/2006/relationships/hyperlink" Target="https://www.baincapital.com/technology/case-studies/athena-health.html"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fda.gov/news-events/press-announcements/fda-issues-comprehensive-draft-guidance-developers-artificial-intelligence-enabled-medical-devices" TargetMode="External"/><Relationship Id="rId17" Type="http://schemas.openxmlformats.org/officeDocument/2006/relationships/hyperlink" Target="https://www.aidoc.com/about/news/aidoc-secures-150m-for-its-healthcare-foundation-model/" TargetMode="External"/><Relationship Id="rId25" Type="http://schemas.openxmlformats.org/officeDocument/2006/relationships/hyperlink" Target="https://www.tcv.com/news/aidoc-tapping-ai-to-improve-patient-outcomes" TargetMode="External"/><Relationship Id="rId33" Type="http://schemas.openxmlformats.org/officeDocument/2006/relationships/hyperlink" Target="https://www.wolterskluwer.com/en/expert-insights/uptodate-and-epic-collaborating-to-streamline-workflows-help-transform-patient-care" TargetMode="External"/><Relationship Id="rId38" Type="http://schemas.openxmlformats.org/officeDocument/2006/relationships/hyperlink" Target="https://www.onepeak.tech/insights/infermedica-raises-usd30-million-series-b-funding-from-one-peak-to-expand-ai-driven-medical-guidance-platform" TargetMode="External"/><Relationship Id="rId46" Type="http://schemas.openxmlformats.org/officeDocument/2006/relationships/hyperlink" Target="https://patientsquarecapital.com/patient-square-capital-completes-acquisition-of-premier-inc/" TargetMode="External"/><Relationship Id="rId59" Type="http://schemas.openxmlformats.org/officeDocument/2006/relationships/hyperlink" Target="https://www.fda.gov/regulatory-information/search-fda-guidance-documents/marketing-submission-recommendations-predetermined-change-control-plan-artificial-intelligence" TargetMode="External"/><Relationship Id="rId67" Type="http://schemas.openxmlformats.org/officeDocument/2006/relationships/hyperlink" Target="https://www.fda.gov/regulatory-information/search-fda-guidance-documents/clinical-decision-support-software" TargetMode="External"/><Relationship Id="rId20" Type="http://schemas.openxmlformats.org/officeDocument/2006/relationships/hyperlink" Target="https://www.qure.ai/us/news-press-coverages/qureai-unveils-aiin-action-report-at-india-ai-impact-summit-mapping-ais-ole-across-indias-public-healthcare-system" TargetMode="External"/><Relationship Id="rId41" Type="http://schemas.openxmlformats.org/officeDocument/2006/relationships/hyperlink" Target="https://www.premierinc.com/newsroom/premier-inc-expands-clinical-decision-support-cds-capabilities-with-acquisition-of-illumicare" TargetMode="External"/><Relationship Id="rId54" Type="http://schemas.openxmlformats.org/officeDocument/2006/relationships/hyperlink" Target="https://www.aidoc.com/about/news/aidoc-110-million-funding/" TargetMode="External"/><Relationship Id="rId62" Type="http://schemas.openxmlformats.org/officeDocument/2006/relationships/hyperlink" Target="https://cdsco.gov.in/opencms/export/sites/CDSCO_WEB/Pdf-documents/Guidance-document-on-Medical-Device-Software-under-MDR-2017.pdf" TargetMode="External"/><Relationship Id="rId70" Type="http://schemas.openxmlformats.org/officeDocument/2006/relationships/hyperlink" Target="https://www.qure.ai/us/news-press-coverages/qureai-unveils-aiin-action-report-at-india-ai-impact-summit-mapping-ais-ole-across-indias-public-healthcare-system" TargetMode="External"/><Relationship Id="rId1" Type="http://schemas.openxmlformats.org/officeDocument/2006/relationships/numbering" Target="numbering.xml"/><Relationship Id="rId6" Type="http://schemas.openxmlformats.org/officeDocument/2006/relationships/hyperlink" Target="https://www.marketsandmarkets.com/Market-Reports/clinical-decision-support-systems-market-18085342.html" TargetMode="External"/><Relationship Id="rId15" Type="http://schemas.openxmlformats.org/officeDocument/2006/relationships/hyperlink" Target="https://www.tcv.com/news/aidoc-tapping-ai-to-improve-patient-outcomes" TargetMode="External"/><Relationship Id="rId23" Type="http://schemas.openxmlformats.org/officeDocument/2006/relationships/hyperlink" Target="https://www.wolterskluwer.com/en/news/himss-uptodate-portfolio" TargetMode="External"/><Relationship Id="rId28" Type="http://schemas.openxmlformats.org/officeDocument/2006/relationships/hyperlink" Target="https://www.qure.ai/us/news-press-coverages/qureai-unveils-aiin-action-report-at-india-ai-impact-summit-mapping-ais-ole-across-indias-public-healthcare-system" TargetMode="External"/><Relationship Id="rId36" Type="http://schemas.openxmlformats.org/officeDocument/2006/relationships/hyperlink" Target="https://www.wolterskluwer.com/en/news/himss-uptodate-portfolio" TargetMode="External"/><Relationship Id="rId49" Type="http://schemas.openxmlformats.org/officeDocument/2006/relationships/hyperlink" Target="https://www.premierinc.com/newsroom/premier-inc-expands-clinical-decision-support-cds-capabilities-with-acquisition-of-illumicare" TargetMode="External"/><Relationship Id="rId57" Type="http://schemas.openxmlformats.org/officeDocument/2006/relationships/hyperlink" Target="https://www.qure.ai/us/news-press-coverages/qure-ai-gets-series-d-funding-to-expand-healthcare-ai" TargetMode="External"/><Relationship Id="rId10" Type="http://schemas.openxmlformats.org/officeDocument/2006/relationships/hyperlink" Target="https://www.grandviewresearch.com/industry-analysis/us-clinical-decision-support-systems-market-report" TargetMode="External"/><Relationship Id="rId31" Type="http://schemas.openxmlformats.org/officeDocument/2006/relationships/hyperlink" Target="https://theailandscape.com/startups/qure-ai/" TargetMode="External"/><Relationship Id="rId44" Type="http://schemas.openxmlformats.org/officeDocument/2006/relationships/hyperlink" Target="https://www.premierinc.com/newsroom/premier-inc-expands-clinical-decision-support-cds-capabilities-with-acquisition-of-illumicare" TargetMode="External"/><Relationship Id="rId52" Type="http://schemas.openxmlformats.org/officeDocument/2006/relationships/hyperlink" Target="https://www.onepeak.tech/insights/infermedica-raises-usd30-million-series-b-funding-from-one-peak-to-expand-ai-driven-medical-guidance-platform" TargetMode="External"/><Relationship Id="rId60" Type="http://schemas.openxmlformats.org/officeDocument/2006/relationships/hyperlink" Target="https://www.fda.gov/news-events/press-announcements/fda-issues-comprehensive-draft-guidance-developers-artificial-intelligence-enabled-medical-devices" TargetMode="External"/><Relationship Id="rId65" Type="http://schemas.openxmlformats.org/officeDocument/2006/relationships/hyperlink" Target="https://static.pib.gov.in/WriteReadData/specificdocs/documents/2025/nov/doc20251117695301.pdf" TargetMode="External"/><Relationship Id="rId4" Type="http://schemas.openxmlformats.org/officeDocument/2006/relationships/webSettings" Target="webSettings.xml"/><Relationship Id="rId9" Type="http://schemas.openxmlformats.org/officeDocument/2006/relationships/hyperlink" Target="https://www.grandviewresearch.com/horizon/outlook/artificial-intelligence-in-clinical-decision-support-market/india" TargetMode="External"/><Relationship Id="rId13" Type="http://schemas.openxmlformats.org/officeDocument/2006/relationships/hyperlink" Target="https://www.fda.gov/medical-devices/software-medical-device-samd/artificial-intelligence-enabled-medical-devices" TargetMode="External"/><Relationship Id="rId18" Type="http://schemas.openxmlformats.org/officeDocument/2006/relationships/hyperlink" Target="https://www.qure.ai/us/news-press-coverages/qure-ai-gets-series-d-funding-to-expand-healthcare-ai" TargetMode="External"/><Relationship Id="rId39" Type="http://schemas.openxmlformats.org/officeDocument/2006/relationships/hyperlink" Target="https://tracxn.com/d/companies/infermedica/__DbuCpBTURNAv3qi7XiNigIL5Ui1ub7FFX6rYs9GBHgQ/funding-and-investors" TargetMode="External"/><Relationship Id="rId34" Type="http://schemas.openxmlformats.org/officeDocument/2006/relationships/hyperlink" Target="https://www.wolterskluwer.com/en/news/himss-uptodate-portfolio" TargetMode="External"/><Relationship Id="rId50" Type="http://schemas.openxmlformats.org/officeDocument/2006/relationships/hyperlink" Target="https://www.athenahealth.com/about/press-releases/athenahealth-acquired-by-hellman-and-friedman-and-bain-capital" TargetMode="External"/><Relationship Id="rId55" Type="http://schemas.openxmlformats.org/officeDocument/2006/relationships/hyperlink" Target="https://www.tcv.com/news/aidoc-tapping-ai-to-improve-patient-outco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6333</Words>
  <Characters>29515</Characters>
  <Application>Microsoft Office Word</Application>
  <DocSecurity>0</DocSecurity>
  <Lines>1967</Lines>
  <Paragraphs>1886</Paragraphs>
  <ScaleCrop>false</ScaleCrop>
  <Company/>
  <LinksUpToDate>false</LinksUpToDate>
  <CharactersWithSpaces>33962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Sankuri</dc:creator>
  <cp:keywords/>
  <dc:description/>
  <cp:lastModifiedBy>Apoorva Sankuri</cp:lastModifiedBy>
  <cp:revision>1</cp:revision>
  <dcterms:created xsi:type="dcterms:W3CDTF">2026-09-16T08:57:00Z</dcterms:created>
  <dcterms:modified xsi:type="dcterms:W3CDTF">2026-09-16T08:58:00Z</dcterms:modified>
</cp:coreProperties>
</file>