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E66E" w14:textId="77777777" w:rsidR="00971AFB" w:rsidRDefault="00971AFB" w:rsidP="00971AFB">
      <w:r>
        <w:t>DRUG DISCOVERY AND RESEARCH &amp; DEVELOPMENT</w:t>
      </w:r>
    </w:p>
    <w:p w14:paraId="5564F94E" w14:textId="77777777" w:rsidR="00971AFB" w:rsidRPr="00B44B50" w:rsidRDefault="00971AFB" w:rsidP="00971AFB">
      <w:pPr>
        <w:rPr>
          <w:b/>
          <w:bCs/>
        </w:rPr>
      </w:pPr>
      <w:r w:rsidRPr="00B44B50">
        <w:rPr>
          <w:b/>
          <w:bCs/>
        </w:rPr>
        <w:t>1. Outlook</w:t>
      </w:r>
    </w:p>
    <w:p w14:paraId="1DBCFC08" w14:textId="77777777" w:rsidR="00971AFB" w:rsidRPr="00B44B50" w:rsidRDefault="00971AFB" w:rsidP="00971AFB">
      <w:pPr>
        <w:rPr>
          <w:b/>
          <w:bCs/>
        </w:rPr>
      </w:pPr>
      <w:r w:rsidRPr="00B44B50">
        <w:rPr>
          <w:b/>
          <w:bCs/>
        </w:rPr>
        <w:t>Market growth and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377"/>
        <w:gridCol w:w="1197"/>
        <w:gridCol w:w="1010"/>
        <w:gridCol w:w="4338"/>
      </w:tblGrid>
      <w:tr w:rsidR="00971AFB" w:rsidRPr="00B44B50" w14:paraId="62E80D18" w14:textId="77777777" w:rsidTr="00657AA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1D7873" w14:textId="77777777" w:rsidR="00971AFB" w:rsidRPr="00B44B50" w:rsidRDefault="00971AFB" w:rsidP="00657AA4">
            <w:pPr>
              <w:rPr>
                <w:b/>
                <w:bCs/>
              </w:rPr>
            </w:pPr>
            <w:r w:rsidRPr="00B44B50">
              <w:rPr>
                <w:b/>
                <w:bCs/>
              </w:rPr>
              <w:t>Geography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A2C0CC" w14:textId="77777777" w:rsidR="00971AFB" w:rsidRPr="00B44B50" w:rsidRDefault="00971AFB" w:rsidP="00657AA4">
            <w:pPr>
              <w:rPr>
                <w:b/>
                <w:bCs/>
              </w:rPr>
            </w:pPr>
            <w:r w:rsidRPr="00B44B50">
              <w:rPr>
                <w:b/>
                <w:bCs/>
              </w:rPr>
              <w:t>Current / base-year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CB3709" w14:textId="77777777" w:rsidR="00971AFB" w:rsidRPr="00B44B50" w:rsidRDefault="00971AFB" w:rsidP="00657AA4">
            <w:pPr>
              <w:rPr>
                <w:b/>
                <w:bCs/>
              </w:rPr>
            </w:pPr>
            <w:r w:rsidRPr="00B44B50">
              <w:rPr>
                <w:b/>
                <w:bCs/>
              </w:rPr>
              <w:t>Forecast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0B47D0" w14:textId="77777777" w:rsidR="00971AFB" w:rsidRPr="00B44B50" w:rsidRDefault="00971AFB" w:rsidP="00657AA4">
            <w:pPr>
              <w:rPr>
                <w:b/>
                <w:bCs/>
              </w:rPr>
            </w:pPr>
            <w:r w:rsidRPr="00B44B50">
              <w:rPr>
                <w:b/>
                <w:bCs/>
              </w:rPr>
              <w:t>CAGR and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EADA3" w14:textId="77777777" w:rsidR="00971AFB" w:rsidRPr="00B44B50" w:rsidRDefault="00971AFB" w:rsidP="00657AA4">
            <w:pPr>
              <w:rPr>
                <w:b/>
                <w:bCs/>
              </w:rPr>
            </w:pPr>
            <w:r w:rsidRPr="00B44B50">
              <w:rPr>
                <w:b/>
                <w:bCs/>
              </w:rPr>
              <w:t>Definition and comparability caveat</w:t>
            </w:r>
          </w:p>
        </w:tc>
      </w:tr>
      <w:tr w:rsidR="00971AFB" w:rsidRPr="00B44B50" w14:paraId="1A536247" w14:textId="77777777" w:rsidTr="00657A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4B4B79" w14:textId="77777777" w:rsidR="00971AFB" w:rsidRPr="00B44B50" w:rsidRDefault="00971AFB" w:rsidP="00657AA4">
            <w:r w:rsidRPr="00B44B50">
              <w:rPr>
                <w:b/>
                <w:bCs/>
              </w:rPr>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B6788" w14:textId="77777777" w:rsidR="00971AFB" w:rsidRPr="00B44B50" w:rsidRDefault="00971AFB" w:rsidP="00657AA4">
            <w:r w:rsidRPr="00B44B50">
              <w:rPr>
                <w:b/>
                <w:bCs/>
              </w:rPr>
              <w:t>US$5.09 billion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F8892" w14:textId="77777777" w:rsidR="00971AFB" w:rsidRPr="00B44B50" w:rsidRDefault="00971AFB" w:rsidP="00657AA4">
            <w:r w:rsidRPr="00B44B50">
              <w:rPr>
                <w:b/>
                <w:bCs/>
              </w:rPr>
              <w:t>US$17.56 billion in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743C6" w14:textId="77777777" w:rsidR="00971AFB" w:rsidRPr="00B44B50" w:rsidRDefault="00971AFB" w:rsidP="00657AA4">
            <w:r w:rsidRPr="00B44B50">
              <w:rPr>
                <w:b/>
                <w:bCs/>
              </w:rPr>
              <w:t>28.1%, 2026–2031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FCACA" w14:textId="77777777" w:rsidR="00971AFB" w:rsidRPr="00B44B50" w:rsidRDefault="00971AFB" w:rsidP="00657AA4">
            <w:r w:rsidRPr="00B44B50">
              <w:t xml:space="preserve">MarketsandMarkets includes AI software, services and tools used in target identification, hit-to-lead, molecule design, optimization, repurposing, disease understanding and PK/PD. </w:t>
            </w:r>
            <w:hyperlink r:id="rId5" w:history="1">
              <w:r w:rsidRPr="00B44B50">
                <w:rPr>
                  <w:rStyle w:val="Hyperlink"/>
                </w:rPr>
                <w:t>[marketsand...arkets.com]</w:t>
              </w:r>
            </w:hyperlink>
          </w:p>
        </w:tc>
      </w:tr>
      <w:tr w:rsidR="00971AFB" w:rsidRPr="00B44B50" w14:paraId="1521B6C4" w14:textId="77777777" w:rsidTr="00657A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EE0ECB" w14:textId="77777777" w:rsidR="00971AFB" w:rsidRPr="00B44B50" w:rsidRDefault="00971AFB" w:rsidP="00657AA4">
            <w:r w:rsidRPr="00B44B50">
              <w:rPr>
                <w:b/>
                <w:bCs/>
              </w:rPr>
              <w:t>Global, alternative estimate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A42C9" w14:textId="77777777" w:rsidR="00971AFB" w:rsidRPr="00B44B50" w:rsidRDefault="00971AFB" w:rsidP="00657AA4">
            <w:r w:rsidRPr="00B44B50">
              <w:rPr>
                <w:b/>
                <w:bCs/>
              </w:rPr>
              <w:t>US$3.25 billion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0E5F8" w14:textId="77777777" w:rsidR="00971AFB" w:rsidRPr="00B44B50" w:rsidRDefault="00971AFB" w:rsidP="00657AA4">
            <w:r w:rsidRPr="00B44B50">
              <w:rPr>
                <w:b/>
                <w:bCs/>
              </w:rPr>
              <w:t>US$10.29 billion in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A349D7" w14:textId="77777777" w:rsidR="00971AFB" w:rsidRPr="00B44B50" w:rsidRDefault="00971AFB" w:rsidP="00657AA4">
            <w:r w:rsidRPr="00B44B50">
              <w:rPr>
                <w:b/>
                <w:bCs/>
              </w:rPr>
              <w:t>25.94%, 2026–2031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48291" w14:textId="77777777" w:rsidR="00971AFB" w:rsidRPr="00B44B50" w:rsidRDefault="00971AFB" w:rsidP="00657AA4">
            <w:r w:rsidRPr="00B44B50">
              <w:t xml:space="preserve">Mordor Intelligence uses its own segmentation across component, deployment, drug type and end user. The material difference versus MarketsandMarkets indicates that market estimates are highly sensitive to whether services, cloud infrastructure, internal platforms and AI-assisted development activities are included. </w:t>
            </w:r>
            <w:hyperlink r:id="rId6" w:history="1">
              <w:r w:rsidRPr="00B44B50">
                <w:rPr>
                  <w:rStyle w:val="Hyperlink"/>
                </w:rPr>
                <w:t>[mordorinte...igence.com]</w:t>
              </w:r>
            </w:hyperlink>
          </w:p>
        </w:tc>
      </w:tr>
      <w:tr w:rsidR="00971AFB" w:rsidRPr="00B44B50" w14:paraId="3416CBF0" w14:textId="77777777" w:rsidTr="00657A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6D389F" w14:textId="77777777" w:rsidR="00971AFB" w:rsidRPr="00B44B50" w:rsidRDefault="00971AFB" w:rsidP="00657AA4">
            <w:r w:rsidRPr="00B44B50">
              <w:rPr>
                <w:b/>
                <w:bCs/>
              </w:rPr>
              <w:t>United 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2072C" w14:textId="77777777" w:rsidR="00971AFB" w:rsidRPr="00B44B50" w:rsidRDefault="00971AFB" w:rsidP="00657AA4">
            <w:r w:rsidRPr="00B44B50">
              <w:rPr>
                <w:b/>
                <w:bCs/>
              </w:rPr>
              <w:t>US$532.8 million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A13E6" w14:textId="77777777" w:rsidR="00971AFB" w:rsidRPr="00B44B50" w:rsidRDefault="00971AFB" w:rsidP="00657AA4">
            <w:r w:rsidRPr="00B44B50">
              <w:rPr>
                <w:b/>
                <w:bCs/>
              </w:rPr>
              <w:t>US$4.46 billion in 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A5491" w14:textId="77777777" w:rsidR="00971AFB" w:rsidRPr="00B44B50" w:rsidRDefault="00971AFB" w:rsidP="00657AA4">
            <w:r w:rsidRPr="00B44B50">
              <w:rPr>
                <w:b/>
                <w:bCs/>
              </w:rPr>
              <w:t>30.3%, 2026–2033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1BCF" w14:textId="77777777" w:rsidR="00971AFB" w:rsidRPr="00B44B50" w:rsidRDefault="00971AFB" w:rsidP="00657AA4">
            <w:r w:rsidRPr="00B44B50">
              <w:t xml:space="preserve">Transpire Insight includes software, AI platforms, services, hardware, cloud infrastructure, analytics tools, algorithms, databases and consulting. This is a wider technology-stack definition than several global reports and should not be directly divided into the global figures above. </w:t>
            </w:r>
            <w:hyperlink r:id="rId7" w:history="1">
              <w:r w:rsidRPr="00B44B50">
                <w:rPr>
                  <w:rStyle w:val="Hyperlink"/>
                </w:rPr>
                <w:t>[transpireinsight.com]</w:t>
              </w:r>
            </w:hyperlink>
          </w:p>
        </w:tc>
      </w:tr>
      <w:tr w:rsidR="00971AFB" w:rsidRPr="00B44B50" w14:paraId="78C82AA9" w14:textId="77777777" w:rsidTr="00657A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A73DA" w14:textId="77777777" w:rsidR="00971AFB" w:rsidRPr="00B44B50" w:rsidRDefault="00971AFB" w:rsidP="00657AA4">
            <w:r w:rsidRPr="00B44B50">
              <w:rPr>
                <w:b/>
                <w:bCs/>
              </w:rPr>
              <w:lastRenderedPageBreak/>
              <w:t>United States, alternative 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B5ED7" w14:textId="77777777" w:rsidR="00971AFB" w:rsidRPr="00B44B50" w:rsidRDefault="00971AFB" w:rsidP="00657AA4">
            <w:r w:rsidRPr="00B44B50">
              <w:rPr>
                <w:b/>
                <w:bCs/>
              </w:rPr>
              <w:t>US$1.86 billion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2467A" w14:textId="77777777" w:rsidR="00971AFB" w:rsidRPr="00B44B50" w:rsidRDefault="00971AFB" w:rsidP="00657AA4">
            <w:r w:rsidRPr="00B44B50">
              <w:rPr>
                <w:b/>
                <w:bCs/>
              </w:rPr>
              <w:t>US$9.86 billion in 2035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6B77F" w14:textId="77777777" w:rsidR="00971AFB" w:rsidRPr="00B44B50" w:rsidRDefault="00971AFB" w:rsidP="00657AA4">
            <w:r w:rsidRPr="00B44B50">
              <w:rPr>
                <w:b/>
                <w:bCs/>
              </w:rPr>
              <w:t>17.9%, 2026–2035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A62AB" w14:textId="77777777" w:rsidR="00971AFB" w:rsidRPr="00B44B50" w:rsidRDefault="00971AFB" w:rsidP="00657AA4">
            <w:r w:rsidRPr="00B44B50">
              <w:t xml:space="preserve">Emergen Research describes an “intelligent drug discovery” market that includes physics-based simulation, machine learning, phenomics and high-content screening. It is broader than a pure AI software-and-services definition. </w:t>
            </w:r>
            <w:hyperlink r:id="rId8" w:history="1">
              <w:r w:rsidRPr="00B44B50">
                <w:rPr>
                  <w:rStyle w:val="Hyperlink"/>
                </w:rPr>
                <w:t>[emergenresearch.com]</w:t>
              </w:r>
            </w:hyperlink>
          </w:p>
        </w:tc>
      </w:tr>
      <w:tr w:rsidR="00971AFB" w:rsidRPr="00B44B50" w14:paraId="335FA741" w14:textId="77777777" w:rsidTr="00657A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198F01" w14:textId="77777777" w:rsidR="00971AFB" w:rsidRPr="00B44B50" w:rsidRDefault="00971AFB" w:rsidP="00657AA4">
            <w:r w:rsidRPr="00B44B50">
              <w:rPr>
                <w:b/>
                <w:bCs/>
              </w:rPr>
              <w:t>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FEBB6" w14:textId="77777777" w:rsidR="00971AFB" w:rsidRPr="00B44B50" w:rsidRDefault="00971AFB" w:rsidP="00657AA4">
            <w:r w:rsidRPr="00B44B50">
              <w:rPr>
                <w:b/>
                <w:bCs/>
              </w:rPr>
              <w:t>US$96.6 million in 2026</w:t>
            </w:r>
            <w:r w:rsidRPr="00B44B50">
              <w:t xml:space="preserve">, following </w:t>
            </w:r>
            <w:r w:rsidRPr="00B44B50">
              <w:rPr>
                <w:b/>
                <w:bCs/>
              </w:rPr>
              <w:t>US$75.3 million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2707F" w14:textId="77777777" w:rsidR="00971AFB" w:rsidRPr="00B44B50" w:rsidRDefault="00971AFB" w:rsidP="00657AA4">
            <w:r w:rsidRPr="00B44B50">
              <w:rPr>
                <w:b/>
                <w:bCs/>
              </w:rPr>
              <w:t>US$558.4 million in 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287A4" w14:textId="77777777" w:rsidR="00971AFB" w:rsidRPr="00B44B50" w:rsidRDefault="00971AFB" w:rsidP="00657AA4">
            <w:r w:rsidRPr="00B44B50">
              <w:rPr>
                <w:b/>
                <w:bCs/>
              </w:rPr>
              <w:t>28.5%, 2026–2033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A4756" w14:textId="77777777" w:rsidR="00971AFB" w:rsidRPr="00B44B50" w:rsidRDefault="00971AFB" w:rsidP="00657AA4">
            <w:r w:rsidRPr="00B44B50">
              <w:t xml:space="preserve">Grand View Research segments the market primarily by therapeutic area. It reports that India represented </w:t>
            </w:r>
            <w:r w:rsidRPr="00B44B50">
              <w:rPr>
                <w:b/>
                <w:bCs/>
              </w:rPr>
              <w:t>3.2% of global AI-in-drug-discovery revenue in 2025</w:t>
            </w:r>
            <w:r w:rsidRPr="00B44B50">
              <w:t xml:space="preserve">. </w:t>
            </w:r>
            <w:hyperlink r:id="rId9" w:history="1">
              <w:r w:rsidRPr="00B44B50">
                <w:rPr>
                  <w:rStyle w:val="Hyperlink"/>
                </w:rPr>
                <w:t>[grandviewr...search.com]</w:t>
              </w:r>
            </w:hyperlink>
          </w:p>
        </w:tc>
      </w:tr>
      <w:tr w:rsidR="00971AFB" w:rsidRPr="00B44B50" w14:paraId="42A5F2C1" w14:textId="77777777" w:rsidTr="00657A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A02980" w14:textId="77777777" w:rsidR="00971AFB" w:rsidRPr="00B44B50" w:rsidRDefault="00971AFB" w:rsidP="00657AA4">
            <w:r w:rsidRPr="00B44B50">
              <w:rPr>
                <w:b/>
                <w:bCs/>
              </w:rPr>
              <w:t>India, alternative estimate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4F8E0" w14:textId="77777777" w:rsidR="00971AFB" w:rsidRPr="00B44B50" w:rsidRDefault="00971AFB" w:rsidP="00657AA4">
            <w:r w:rsidRPr="00B44B50">
              <w:rPr>
                <w:b/>
                <w:bCs/>
              </w:rPr>
              <w:t>US$642.0 million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CA06F" w14:textId="77777777" w:rsidR="00971AFB" w:rsidRPr="00B44B50" w:rsidRDefault="00971AFB" w:rsidP="00657AA4">
            <w:r w:rsidRPr="00B44B50">
              <w:rPr>
                <w:b/>
                <w:bCs/>
              </w:rPr>
              <w:t>US$6.39 billion in 2035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3B437" w14:textId="77777777" w:rsidR="00971AFB" w:rsidRPr="00B44B50" w:rsidRDefault="00971AFB" w:rsidP="00657AA4">
            <w:r w:rsidRPr="00B44B50">
              <w:rPr>
                <w:b/>
                <w:bCs/>
              </w:rPr>
              <w:t>29.1%, 2026–2035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57F6A" w14:textId="77777777" w:rsidR="00971AFB" w:rsidRPr="00B44B50" w:rsidRDefault="00971AFB" w:rsidP="00657AA4">
            <w:r w:rsidRPr="00B44B50">
              <w:t xml:space="preserve">Towards Healthcare includes preclinical and clinical testing, molecule screening, target identification, de novo design and drug optimization. The estimate is more than six times the Grand View Research 2026 estimate, so it should be treated as a broad-market scenario rather than a directly comparable datapoint. </w:t>
            </w:r>
            <w:hyperlink r:id="rId10" w:history="1">
              <w:r w:rsidRPr="00B44B50">
                <w:rPr>
                  <w:rStyle w:val="Hyperlink"/>
                </w:rPr>
                <w:t>[towardshea...thcare.com]</w:t>
              </w:r>
            </w:hyperlink>
          </w:p>
        </w:tc>
      </w:tr>
    </w:tbl>
    <w:p w14:paraId="735EA9A8" w14:textId="77777777" w:rsidR="00971AFB" w:rsidRPr="00B44B50" w:rsidRDefault="00971AFB" w:rsidP="00971AFB">
      <w:r w:rsidRPr="00B44B50">
        <w:t xml:space="preserve">The defensible outlook is therefore </w:t>
      </w:r>
      <w:r w:rsidRPr="00B44B50">
        <w:rPr>
          <w:b/>
          <w:bCs/>
        </w:rPr>
        <w:t>high growth but low measurement consistency</w:t>
      </w:r>
      <w:r w:rsidRPr="00B44B50">
        <w:t xml:space="preserve">. Even within the same geography, published estimates vary materially because some studies count only third-party AI software and services, while others include AI-enabled discovery services, biosimulation, preclinical testing, infrastructure and portions of clinical development. For underwriting, the most conservative comparable set is Mordor Intelligence globally and Grand View Research for India; the broader estimates are better interpreted as an addressable-market ceiling. </w:t>
      </w:r>
      <w:hyperlink r:id="rId11" w:history="1">
        <w:r w:rsidRPr="00B44B50">
          <w:rPr>
            <w:rStyle w:val="Hyperlink"/>
          </w:rPr>
          <w:t>[mordorinte...igence.com]</w:t>
        </w:r>
      </w:hyperlink>
      <w:r w:rsidRPr="00B44B50">
        <w:t xml:space="preserve">, </w:t>
      </w:r>
      <w:hyperlink r:id="rId12" w:history="1">
        <w:r w:rsidRPr="00B44B50">
          <w:rPr>
            <w:rStyle w:val="Hyperlink"/>
          </w:rPr>
          <w:t>[grandviewr...search.com]</w:t>
        </w:r>
      </w:hyperlink>
    </w:p>
    <w:p w14:paraId="119F802E" w14:textId="77777777" w:rsidR="00971AFB" w:rsidRPr="00B44B50" w:rsidRDefault="00971AFB" w:rsidP="00971AFB">
      <w:r w:rsidRPr="00B44B50">
        <w:lastRenderedPageBreak/>
        <w:t xml:space="preserve">North America represented </w:t>
      </w:r>
      <w:r w:rsidRPr="00B44B50">
        <w:rPr>
          <w:b/>
          <w:bCs/>
        </w:rPr>
        <w:t>44.9% of the global market in 2025</w:t>
      </w:r>
      <w:r w:rsidRPr="00B44B50">
        <w:t xml:space="preserve"> under the MarketsandMarkets methodology, while Grand View Research estimated a </w:t>
      </w:r>
      <w:r w:rsidRPr="00B44B50">
        <w:rPr>
          <w:b/>
          <w:bCs/>
        </w:rPr>
        <w:t>52.8% North American share in 2025</w:t>
      </w:r>
      <w:r w:rsidRPr="00B44B50">
        <w:t xml:space="preserve"> under a different methodology. These are North American, not United States, shares and should not be presented as US market size. </w:t>
      </w:r>
      <w:hyperlink r:id="rId13" w:history="1">
        <w:r w:rsidRPr="00B44B50">
          <w:rPr>
            <w:rStyle w:val="Hyperlink"/>
          </w:rPr>
          <w:t>[marketsand...arkets.com]</w:t>
        </w:r>
      </w:hyperlink>
      <w:r w:rsidRPr="00B44B50">
        <w:t xml:space="preserve">, </w:t>
      </w:r>
      <w:hyperlink r:id="rId14" w:history="1">
        <w:r w:rsidRPr="00B44B50">
          <w:rPr>
            <w:rStyle w:val="Hyperlink"/>
          </w:rPr>
          <w:t>[grandviewr...search.com]</w:t>
        </w:r>
      </w:hyperlink>
    </w:p>
    <w:p w14:paraId="2F0518CA" w14:textId="77777777" w:rsidR="00971AFB" w:rsidRPr="00B44B50" w:rsidRDefault="00971AFB" w:rsidP="00971AFB">
      <w:pPr>
        <w:rPr>
          <w:b/>
          <w:bCs/>
        </w:rPr>
      </w:pPr>
      <w:r w:rsidRPr="00B44B50">
        <w:rPr>
          <w:b/>
          <w:bCs/>
        </w:rPr>
        <w:t>2. AI Maturity</w:t>
      </w:r>
    </w:p>
    <w:p w14:paraId="7194BA12" w14:textId="77777777" w:rsidR="00971AFB" w:rsidRPr="00B44B50" w:rsidRDefault="00971AFB" w:rsidP="00971AFB">
      <w:r w:rsidRPr="00B44B50">
        <w:rPr>
          <w:b/>
          <w:bCs/>
        </w:rPr>
        <w:t>Assessment: commercially proven in research workflows, clinically emerging, but not yet proven at pharmaceutical approval scale.</w:t>
      </w:r>
    </w:p>
    <w:p w14:paraId="71B349AF" w14:textId="77777777" w:rsidR="00971AFB" w:rsidRPr="00B44B50" w:rsidRDefault="00971AFB" w:rsidP="00971AFB">
      <w:r w:rsidRPr="00B44B50">
        <w:t xml:space="preserve">This segment should not be assessed using medical-device-style FDA or CDSCO “AI clearances.” Drug-discovery models are generally research tools, and regulatory approval attaches to the resulting investigational or marketed drug, not to the target-identification or molecular-design algorithm. The FDA’s January 2025 draft AI guidance expressly focuses on AI-generated information used to support decisions on a drug’s safety, effectiveness or quality; purely discovery-stage and internal operational applications are outside its stated scope. </w:t>
      </w:r>
      <w:hyperlink r:id="rId15" w:history="1">
        <w:r w:rsidRPr="00B44B50">
          <w:rPr>
            <w:rStyle w:val="Hyperlink"/>
          </w:rPr>
          <w:t>[fda.gov]</w:t>
        </w:r>
      </w:hyperlink>
      <w:r w:rsidRPr="00B44B50">
        <w:t xml:space="preserve">, </w:t>
      </w:r>
      <w:hyperlink r:id="rId16" w:history="1">
        <w:r w:rsidRPr="00B44B50">
          <w:rPr>
            <w:rStyle w:val="Hyperlink"/>
          </w:rPr>
          <w:t>[intuitionlabs.ai]</w:t>
        </w:r>
      </w:hyperlink>
    </w:p>
    <w:p w14:paraId="061EB63D" w14:textId="77777777" w:rsidR="00971AFB" w:rsidRPr="00B44B50" w:rsidRDefault="00971AFB" w:rsidP="00971AFB">
      <w:r w:rsidRPr="00B44B50">
        <w:t xml:space="preserve">The strongest evidence of scaled adoption is regulatory-submission activity. FDA’s Center for Drug Evaluation and Research reported experience with </w:t>
      </w:r>
      <w:r w:rsidRPr="00B44B50">
        <w:rPr>
          <w:b/>
          <w:bCs/>
        </w:rPr>
        <w:t>more than 500 submissions containing AI components from 2016 through 2023</w:t>
      </w:r>
      <w:r w:rsidRPr="00B44B50">
        <w:t xml:space="preserve">. However, these submissions span nonclinical, clinical, post-marketing and manufacturing uses, so they cannot be interpreted as </w:t>
      </w:r>
      <w:r w:rsidRPr="00B44B50">
        <w:rPr>
          <w:b/>
          <w:bCs/>
        </w:rPr>
        <w:t>500 AI-discovered molecules</w:t>
      </w:r>
      <w:r w:rsidRPr="00B44B50">
        <w:t xml:space="preserve">. </w:t>
      </w:r>
      <w:hyperlink r:id="rId17" w:history="1">
        <w:r w:rsidRPr="00B44B50">
          <w:rPr>
            <w:rStyle w:val="Hyperlink"/>
          </w:rPr>
          <w:t>[fda.gov]</w:t>
        </w:r>
      </w:hyperlink>
    </w:p>
    <w:p w14:paraId="6341F8C8" w14:textId="77777777" w:rsidR="00971AFB" w:rsidRPr="00B44B50" w:rsidRDefault="00971AFB" w:rsidP="00971AFB">
      <w:r w:rsidRPr="00B44B50">
        <w:t xml:space="preserve">Clinical maturity has advanced beyond pilots. Insilico Medicine announced that the first patient was dosed in a Phase III trial of rentosertib on </w:t>
      </w:r>
      <w:r w:rsidRPr="00B44B50">
        <w:rPr>
          <w:b/>
          <w:bCs/>
        </w:rPr>
        <w:t>10 September 2026</w:t>
      </w:r>
      <w:r w:rsidRPr="00B44B50">
        <w:t xml:space="preserve">; the company describes the medicine as generative-AI-driven. This is a materially stronger validation point than a research partnership or funding announcement, although the asset remains investigational and has not received marketing approval. </w:t>
      </w:r>
      <w:hyperlink r:id="rId18" w:history="1">
        <w:r w:rsidRPr="00B44B50">
          <w:rPr>
            <w:rStyle w:val="Hyperlink"/>
          </w:rPr>
          <w:t>[insilico.com]</w:t>
        </w:r>
      </w:hyperlink>
    </w:p>
    <w:p w14:paraId="74F1FA74" w14:textId="77777777" w:rsidR="00971AFB" w:rsidRPr="00B44B50" w:rsidRDefault="00971AFB" w:rsidP="00971AFB">
      <w:r w:rsidRPr="00B44B50">
        <w:t xml:space="preserve">Recursion reported five clinical programs advancing at the end of 2025 and described results in familial adenomatous polyposis as the first clinical validation of its operating system. It had also received </w:t>
      </w:r>
      <w:r w:rsidRPr="00B44B50">
        <w:rPr>
          <w:b/>
          <w:bCs/>
        </w:rPr>
        <w:t>US$134 million across five accepted Sanofi program milestones</w:t>
      </w:r>
      <w:r w:rsidRPr="00B44B50">
        <w:t xml:space="preserve"> as of February 2026. These are meaningful platform and translation signals, but they do not establish that the platform systematically improves Phase III success or produces approved drugs. </w:t>
      </w:r>
      <w:hyperlink r:id="rId19" w:history="1">
        <w:r w:rsidRPr="00B44B50">
          <w:rPr>
            <w:rStyle w:val="Hyperlink"/>
          </w:rPr>
          <w:t>[nasdaq.com]</w:t>
        </w:r>
      </w:hyperlink>
    </w:p>
    <w:p w14:paraId="02222044" w14:textId="77777777" w:rsidR="00971AFB" w:rsidRPr="00B44B50" w:rsidRDefault="00971AFB" w:rsidP="00971AFB">
      <w:r w:rsidRPr="00B44B50">
        <w:t xml:space="preserve">There is no meaningful “number of health systems live in production” metric for this subsector because the primary buyers are pharmaceutical companies, biotechnology companies, CROs and research institutions, not hospitals. Production evidence is better measured through recurring software revenue, repeat pharmaceutical collaborations, </w:t>
      </w:r>
      <w:r w:rsidRPr="00B44B50">
        <w:lastRenderedPageBreak/>
        <w:t>milestone acceptance, clinical-stage assets and regulatory submissions. On those measures, the segment has moved beyond pilot-only adoption, but broad clinical and approval-level validation remains incomplete.</w:t>
      </w:r>
    </w:p>
    <w:p w14:paraId="723C885F" w14:textId="77777777" w:rsidR="00971AFB" w:rsidRPr="00B44B50" w:rsidRDefault="00971AFB" w:rsidP="00971AFB">
      <w:pPr>
        <w:rPr>
          <w:b/>
          <w:bCs/>
        </w:rPr>
      </w:pPr>
      <w:r w:rsidRPr="00B44B50">
        <w:rPr>
          <w:b/>
          <w:bCs/>
        </w:rPr>
        <w:t>3. Key Players</w:t>
      </w:r>
    </w:p>
    <w:p w14:paraId="1748A325" w14:textId="77777777" w:rsidR="00971AFB" w:rsidRPr="00B44B50" w:rsidRDefault="00971AFB" w:rsidP="00971AFB">
      <w:pPr>
        <w:rPr>
          <w:b/>
          <w:bCs/>
        </w:rPr>
      </w:pPr>
      <w:r w:rsidRPr="00B44B50">
        <w:rPr>
          <w:b/>
          <w:bCs/>
        </w:rPr>
        <w:t>Recursion Pharmaceuticals</w:t>
      </w:r>
    </w:p>
    <w:p w14:paraId="58A78BF2" w14:textId="77777777" w:rsidR="00971AFB" w:rsidRPr="00B44B50" w:rsidRDefault="00971AFB" w:rsidP="00971AFB">
      <w:r w:rsidRPr="00B44B50">
        <w:t xml:space="preserve">Recursion combines automated wet-lab experiments, high-content cellular imaging, phenomics, machine learning, computational chemistry and clinical-development capabilities in its Recursion OS. Its differentiation is the feedback loop between proprietary biological experiments and model training rather than a software-only molecular-design model. The 2024 combination with Exscientia added precision chemistry, automated small-molecule synthesis and additional clinical programs. </w:t>
      </w:r>
      <w:hyperlink r:id="rId20" w:history="1">
        <w:r w:rsidRPr="00B44B50">
          <w:rPr>
            <w:rStyle w:val="Hyperlink"/>
          </w:rPr>
          <w:t>[ir.recursion.com]</w:t>
        </w:r>
      </w:hyperlink>
    </w:p>
    <w:p w14:paraId="2EB0A406" w14:textId="77777777" w:rsidR="00971AFB" w:rsidRPr="00B44B50" w:rsidRDefault="00971AFB" w:rsidP="00971AFB">
      <w:r w:rsidRPr="00B44B50">
        <w:t xml:space="preserve">The combined company expected more than </w:t>
      </w:r>
      <w:r w:rsidRPr="00B44B50">
        <w:rPr>
          <w:b/>
          <w:bCs/>
        </w:rPr>
        <w:t>US$100 million of annual synergies</w:t>
      </w:r>
      <w:r w:rsidRPr="00B44B50">
        <w:t xml:space="preserve">, had approximately </w:t>
      </w:r>
      <w:r w:rsidRPr="00B44B50">
        <w:rPr>
          <w:b/>
          <w:bCs/>
        </w:rPr>
        <w:t>US$850 million in combined cash at the end of Q2 2024</w:t>
      </w:r>
      <w:r w:rsidRPr="00B44B50">
        <w:t xml:space="preserve">, and identified potential partnership milestones of approximately </w:t>
      </w:r>
      <w:r w:rsidRPr="00B44B50">
        <w:rPr>
          <w:b/>
          <w:bCs/>
        </w:rPr>
        <w:t>US$200 million over the following 24 months</w:t>
      </w:r>
      <w:r w:rsidRPr="00B44B50">
        <w:t xml:space="preserve"> when the merger was announced. These were forward-looking transaction estimates, not realized revenue. As of February 2026, it reported </w:t>
      </w:r>
      <w:r w:rsidRPr="00B44B50">
        <w:rPr>
          <w:b/>
          <w:bCs/>
        </w:rPr>
        <w:t>US$754 million of cash and cash equivalents</w:t>
      </w:r>
      <w:r w:rsidRPr="00B44B50">
        <w:t xml:space="preserve">, five advancing clinical programs and </w:t>
      </w:r>
      <w:r w:rsidRPr="00B44B50">
        <w:rPr>
          <w:b/>
          <w:bCs/>
        </w:rPr>
        <w:t>US$134 million received through five Sanofi program milestones</w:t>
      </w:r>
      <w:r w:rsidRPr="00B44B50">
        <w:t xml:space="preserve">. </w:t>
      </w:r>
      <w:hyperlink r:id="rId21" w:history="1">
        <w:r w:rsidRPr="00B44B50">
          <w:rPr>
            <w:rStyle w:val="Hyperlink"/>
          </w:rPr>
          <w:t>[ir.recursion.com]</w:t>
        </w:r>
      </w:hyperlink>
      <w:r w:rsidRPr="00B44B50">
        <w:t xml:space="preserve"> </w:t>
      </w:r>
      <w:hyperlink r:id="rId22" w:history="1">
        <w:r w:rsidRPr="00B44B50">
          <w:rPr>
            <w:rStyle w:val="Hyperlink"/>
          </w:rPr>
          <w:t>[nasdaq.com]</w:t>
        </w:r>
      </w:hyperlink>
    </w:p>
    <w:p w14:paraId="49913D3E" w14:textId="77777777" w:rsidR="00971AFB" w:rsidRPr="00B44B50" w:rsidRDefault="00971AFB" w:rsidP="00971AFB">
      <w:r w:rsidRPr="00B44B50">
        <w:t xml:space="preserve">Ownership: publicly listed on Nasdaq under </w:t>
      </w:r>
      <w:r w:rsidRPr="00B44B50">
        <w:rPr>
          <w:b/>
          <w:bCs/>
        </w:rPr>
        <w:t>RXRX</w:t>
      </w:r>
      <w:r w:rsidRPr="00B44B50">
        <w:t xml:space="preserve">. The Exscientia transaction was an all-stock merger valued at approximately </w:t>
      </w:r>
      <w:r w:rsidRPr="00B44B50">
        <w:rPr>
          <w:b/>
          <w:bCs/>
        </w:rPr>
        <w:t>US$688 million</w:t>
      </w:r>
      <w:r w:rsidRPr="00B44B50">
        <w:t xml:space="preserve">, with Exscientia shareholders expected to own approximately </w:t>
      </w:r>
      <w:r w:rsidRPr="00B44B50">
        <w:rPr>
          <w:b/>
          <w:bCs/>
        </w:rPr>
        <w:t>26% of the combined business</w:t>
      </w:r>
      <w:r w:rsidRPr="00B44B50">
        <w:t xml:space="preserve"> under the announced terms. </w:t>
      </w:r>
      <w:hyperlink r:id="rId23" w:history="1">
        <w:r w:rsidRPr="00B44B50">
          <w:rPr>
            <w:rStyle w:val="Hyperlink"/>
          </w:rPr>
          <w:t>[pharmaphorum.com]</w:t>
        </w:r>
      </w:hyperlink>
    </w:p>
    <w:p w14:paraId="63E73CCD" w14:textId="77777777" w:rsidR="00971AFB" w:rsidRPr="00B44B50" w:rsidRDefault="00971AFB" w:rsidP="00971AFB">
      <w:pPr>
        <w:rPr>
          <w:b/>
          <w:bCs/>
        </w:rPr>
      </w:pPr>
      <w:r w:rsidRPr="00B44B50">
        <w:rPr>
          <w:b/>
          <w:bCs/>
        </w:rPr>
        <w:t>Schrödinger</w:t>
      </w:r>
    </w:p>
    <w:p w14:paraId="3914770A" w14:textId="77777777" w:rsidR="00971AFB" w:rsidRPr="00B44B50" w:rsidRDefault="00971AFB" w:rsidP="00971AFB">
      <w:r w:rsidRPr="00B44B50">
        <w:t>Schrödinger integrates physics-based molecular simulation with machine learning for protein-structure analysis, virtual screening, binding-affinity prediction, lead optimization and toxicity prediction. It monetizes through licensed and hosted software, collaborative drug-discovery programs and an internally owned therapeutics pipeline.</w:t>
      </w:r>
    </w:p>
    <w:p w14:paraId="61278A0E" w14:textId="77777777" w:rsidR="00971AFB" w:rsidRPr="00B44B50" w:rsidRDefault="00971AFB" w:rsidP="00971AFB">
      <w:r w:rsidRPr="00B44B50">
        <w:t xml:space="preserve">For 2025, Schrödinger reported </w:t>
      </w:r>
      <w:r w:rsidRPr="00B44B50">
        <w:rPr>
          <w:b/>
          <w:bCs/>
        </w:rPr>
        <w:t>US$255.9 million of total revenue</w:t>
      </w:r>
      <w:r w:rsidRPr="00B44B50">
        <w:t xml:space="preserve">, comprising </w:t>
      </w:r>
      <w:r w:rsidRPr="00B44B50">
        <w:rPr>
          <w:b/>
          <w:bCs/>
        </w:rPr>
        <w:t>US$199.5 million of software revenue</w:t>
      </w:r>
      <w:r w:rsidRPr="00B44B50">
        <w:t xml:space="preserve"> and </w:t>
      </w:r>
      <w:r w:rsidRPr="00B44B50">
        <w:rPr>
          <w:b/>
          <w:bCs/>
        </w:rPr>
        <w:t>US$56.4 million of drug-discovery revenue</w:t>
      </w:r>
      <w:r w:rsidRPr="00B44B50">
        <w:t xml:space="preserve">. Software gross margin was </w:t>
      </w:r>
      <w:r w:rsidRPr="00B44B50">
        <w:rPr>
          <w:b/>
          <w:bCs/>
        </w:rPr>
        <w:t>74%</w:t>
      </w:r>
      <w:r w:rsidRPr="00B44B50">
        <w:t xml:space="preserve">, but the company recorded a </w:t>
      </w:r>
      <w:r w:rsidRPr="00B44B50">
        <w:rPr>
          <w:b/>
          <w:bCs/>
        </w:rPr>
        <w:t>US$103.3 million net loss</w:t>
      </w:r>
      <w:r w:rsidRPr="00B44B50">
        <w:t xml:space="preserve"> and held approximately </w:t>
      </w:r>
      <w:r w:rsidRPr="00B44B50">
        <w:rPr>
          <w:b/>
          <w:bCs/>
        </w:rPr>
        <w:t>US$402.3 million in cash, restricted cash and marketable securities at year-end</w:t>
      </w:r>
      <w:r w:rsidRPr="00B44B50">
        <w:t xml:space="preserve">. </w:t>
      </w:r>
      <w:hyperlink r:id="rId24" w:history="1">
        <w:r w:rsidRPr="00B44B50">
          <w:rPr>
            <w:rStyle w:val="Hyperlink"/>
          </w:rPr>
          <w:t>[ir.schrodinger.com]</w:t>
        </w:r>
      </w:hyperlink>
    </w:p>
    <w:p w14:paraId="44E8299B" w14:textId="77777777" w:rsidR="00971AFB" w:rsidRPr="00B44B50" w:rsidRDefault="00971AFB" w:rsidP="00971AFB">
      <w:r w:rsidRPr="00B44B50">
        <w:t xml:space="preserve">Ownership: publicly listed on Nasdaq under </w:t>
      </w:r>
      <w:r w:rsidRPr="00B44B50">
        <w:rPr>
          <w:b/>
          <w:bCs/>
        </w:rPr>
        <w:t>SDGR</w:t>
      </w:r>
      <w:r w:rsidRPr="00B44B50">
        <w:t>. It is not PE-controlled.</w:t>
      </w:r>
    </w:p>
    <w:p w14:paraId="1990F614" w14:textId="77777777" w:rsidR="00971AFB" w:rsidRPr="00B44B50" w:rsidRDefault="00971AFB" w:rsidP="00971AFB">
      <w:pPr>
        <w:rPr>
          <w:b/>
          <w:bCs/>
        </w:rPr>
      </w:pPr>
      <w:r w:rsidRPr="00B44B50">
        <w:rPr>
          <w:b/>
          <w:bCs/>
        </w:rPr>
        <w:lastRenderedPageBreak/>
        <w:t>Insilico Medicine</w:t>
      </w:r>
    </w:p>
    <w:p w14:paraId="693D1DC7" w14:textId="77777777" w:rsidR="00971AFB" w:rsidRPr="00B44B50" w:rsidRDefault="00971AFB" w:rsidP="00971AFB">
      <w:r w:rsidRPr="00B44B50">
        <w:t xml:space="preserve">Insilico Medicine offers an end-to-end platform comprising PandaOmics for target discovery, Chemistry42 for generative molecular design and inClinico for clinical-trial prediction. It also develops an internal therapeutic pipeline and monetizes through software, research collaborations, asset licensing, milestones and potential royalties. </w:t>
      </w:r>
      <w:hyperlink r:id="rId25" w:history="1">
        <w:r w:rsidRPr="00B44B50">
          <w:rPr>
            <w:rStyle w:val="Hyperlink"/>
          </w:rPr>
          <w:t>[warburgpincus.com]</w:t>
        </w:r>
      </w:hyperlink>
    </w:p>
    <w:p w14:paraId="68AC4431" w14:textId="77777777" w:rsidR="00971AFB" w:rsidRPr="00B44B50" w:rsidRDefault="00971AFB" w:rsidP="00971AFB">
      <w:r w:rsidRPr="00B44B50">
        <w:t xml:space="preserve">Its clinical maturity is among the strongest in the pure-play group. The company announced dosing of the first patient in a Phase III rentosertib trial on </w:t>
      </w:r>
      <w:r w:rsidRPr="00B44B50">
        <w:rPr>
          <w:b/>
          <w:bCs/>
        </w:rPr>
        <w:t>10 September 2026</w:t>
      </w:r>
      <w:r w:rsidRPr="00B44B50">
        <w:t xml:space="preserve">. In 2021, it raised a </w:t>
      </w:r>
      <w:r w:rsidRPr="00B44B50">
        <w:rPr>
          <w:b/>
          <w:bCs/>
        </w:rPr>
        <w:t>US$255 million Series C</w:t>
      </w:r>
      <w:r w:rsidRPr="00B44B50">
        <w:t xml:space="preserve"> led by Warburg Pincus; the company stated that proceeds would advance therapeutic programs into human trials and expand its platform. In March 2026, its collaboration with Eli Lilly included </w:t>
      </w:r>
      <w:r w:rsidRPr="00B44B50">
        <w:rPr>
          <w:b/>
          <w:bCs/>
        </w:rPr>
        <w:t>US$115 million upfront</w:t>
      </w:r>
      <w:r w:rsidRPr="00B44B50">
        <w:t xml:space="preserve"> and up to </w:t>
      </w:r>
      <w:r w:rsidRPr="00B44B50">
        <w:rPr>
          <w:b/>
          <w:bCs/>
        </w:rPr>
        <w:t>US$2.63 billion in development, regulatory and commercial milestones</w:t>
      </w:r>
      <w:r w:rsidRPr="00B44B50">
        <w:t xml:space="preserve">, although milestone headline value is contingent and should not be treated as contracted revenue. </w:t>
      </w:r>
      <w:hyperlink r:id="rId26" w:history="1">
        <w:r w:rsidRPr="00B44B50">
          <w:rPr>
            <w:rStyle w:val="Hyperlink"/>
          </w:rPr>
          <w:t>[insilico.com]</w:t>
        </w:r>
      </w:hyperlink>
      <w:r w:rsidRPr="00B44B50">
        <w:t xml:space="preserve"> </w:t>
      </w:r>
      <w:hyperlink r:id="rId27" w:history="1">
        <w:r w:rsidRPr="00B44B50">
          <w:rPr>
            <w:rStyle w:val="Hyperlink"/>
          </w:rPr>
          <w:t>[warburgpincus.com]</w:t>
        </w:r>
      </w:hyperlink>
      <w:r w:rsidRPr="00B44B50">
        <w:t xml:space="preserve"> </w:t>
      </w:r>
      <w:hyperlink r:id="rId28" w:history="1">
        <w:r w:rsidRPr="00B44B50">
          <w:rPr>
            <w:rStyle w:val="Hyperlink"/>
          </w:rPr>
          <w:t>[intuitionlabs.ai]</w:t>
        </w:r>
      </w:hyperlink>
    </w:p>
    <w:p w14:paraId="33C0F108" w14:textId="77777777" w:rsidR="00971AFB" w:rsidRPr="00B44B50" w:rsidRDefault="00971AFB" w:rsidP="00971AFB">
      <w:r w:rsidRPr="00B44B50">
        <w:t xml:space="preserve">Ownership: publicly listed on the Hong Kong Stock Exchange under </w:t>
      </w:r>
      <w:r w:rsidRPr="00B44B50">
        <w:rPr>
          <w:b/>
          <w:bCs/>
        </w:rPr>
        <w:t>3696</w:t>
      </w:r>
      <w:r w:rsidRPr="00B44B50">
        <w:t xml:space="preserve">, following an IPO reported as raising approximately </w:t>
      </w:r>
      <w:r w:rsidRPr="00B44B50">
        <w:rPr>
          <w:b/>
          <w:bCs/>
        </w:rPr>
        <w:t>US$293 million in December 2025</w:t>
      </w:r>
      <w:r w:rsidRPr="00B44B50">
        <w:t xml:space="preserve">. Historical financial sponsors include Warburg Pincus, Qiming Venture Partners, OrbiMed, B Capital and other institutional investors. The post-IPO ownership percentages of these investors were not available in the reviewed public sources. </w:t>
      </w:r>
      <w:hyperlink r:id="rId29" w:history="1">
        <w:r w:rsidRPr="00B44B50">
          <w:rPr>
            <w:rStyle w:val="Hyperlink"/>
          </w:rPr>
          <w:t>[forgeglobal.com]</w:t>
        </w:r>
      </w:hyperlink>
    </w:p>
    <w:p w14:paraId="0BEB8299" w14:textId="77777777" w:rsidR="00971AFB" w:rsidRPr="00B44B50" w:rsidRDefault="00971AFB" w:rsidP="00971AFB">
      <w:pPr>
        <w:rPr>
          <w:b/>
          <w:bCs/>
        </w:rPr>
      </w:pPr>
      <w:r w:rsidRPr="00B44B50">
        <w:rPr>
          <w:b/>
          <w:bCs/>
        </w:rPr>
        <w:t>Isomorphic Labs</w:t>
      </w:r>
    </w:p>
    <w:p w14:paraId="64FDCE05" w14:textId="77777777" w:rsidR="00971AFB" w:rsidRPr="00B44B50" w:rsidRDefault="00971AFB" w:rsidP="00971AFB">
      <w:r w:rsidRPr="00B44B50">
        <w:t>Isomorphic Labs is an AI-first drug-design company originating from the Google DeepMind ecosystem. It is developing IsoDDE, an integrated engine intended to model biological interactions, identify binding opportunities, design molecules and advance proprietary and partnered therapeutic programs.</w:t>
      </w:r>
    </w:p>
    <w:p w14:paraId="77D5769F" w14:textId="77777777" w:rsidR="00971AFB" w:rsidRPr="00B44B50" w:rsidRDefault="00971AFB" w:rsidP="00971AFB">
      <w:r w:rsidRPr="00B44B50">
        <w:t xml:space="preserve">The company raised </w:t>
      </w:r>
      <w:r w:rsidRPr="00B44B50">
        <w:rPr>
          <w:b/>
          <w:bCs/>
        </w:rPr>
        <w:t>US$2.1 billion in Series B funding on 12 May 2026</w:t>
      </w:r>
      <w:r w:rsidRPr="00B44B50">
        <w:t xml:space="preserve">, led by Thrive Capital, with participation from Alphabet, GV, MGX, Temasek, CapitalG and the UK Sovereign AI Fund. The company stated that the funding would scale IsoDDE, expand therapeutic programs and move candidates toward the clinic. This financing is a scale-capital signal, not clinical validation; the company’s announcement described its pipeline as progressing “towards the clinic,” rather than reporting an approved medicine. </w:t>
      </w:r>
      <w:hyperlink r:id="rId30" w:history="1">
        <w:r w:rsidRPr="00B44B50">
          <w:rPr>
            <w:rStyle w:val="Hyperlink"/>
          </w:rPr>
          <w:t>[isomorphiclabs.com]</w:t>
        </w:r>
      </w:hyperlink>
      <w:r w:rsidRPr="00B44B50">
        <w:t xml:space="preserve"> </w:t>
      </w:r>
      <w:hyperlink r:id="rId31" w:history="1">
        <w:r w:rsidRPr="00B44B50">
          <w:rPr>
            <w:rStyle w:val="Hyperlink"/>
          </w:rPr>
          <w:t>[isomorphiclabs.com]</w:t>
        </w:r>
      </w:hyperlink>
    </w:p>
    <w:p w14:paraId="5334A5AD" w14:textId="77777777" w:rsidR="00971AFB" w:rsidRPr="00B44B50" w:rsidRDefault="00971AFB" w:rsidP="00971AFB">
      <w:r w:rsidRPr="00B44B50">
        <w:t xml:space="preserve">Ownership: privately held and institutionally backed, with Alphabet remaining a participant and Thrive Capital leading the latest round. No investor ownership percentages were disclosed in the company announcement. </w:t>
      </w:r>
      <w:hyperlink r:id="rId32" w:history="1">
        <w:r w:rsidRPr="00B44B50">
          <w:rPr>
            <w:rStyle w:val="Hyperlink"/>
          </w:rPr>
          <w:t>[isomorphiclabs.com]</w:t>
        </w:r>
      </w:hyperlink>
    </w:p>
    <w:p w14:paraId="25C4B7B0" w14:textId="77777777" w:rsidR="00971AFB" w:rsidRPr="00B44B50" w:rsidRDefault="00971AFB" w:rsidP="00971AFB">
      <w:pPr>
        <w:rPr>
          <w:b/>
          <w:bCs/>
        </w:rPr>
      </w:pPr>
      <w:r w:rsidRPr="00B44B50">
        <w:rPr>
          <w:b/>
          <w:bCs/>
        </w:rPr>
        <w:lastRenderedPageBreak/>
        <w:t>Peptris Technologies</w:t>
      </w:r>
    </w:p>
    <w:p w14:paraId="06C7AC9D" w14:textId="77777777" w:rsidR="00971AFB" w:rsidRPr="00B44B50" w:rsidRDefault="00971AFB" w:rsidP="00971AFB">
      <w:r w:rsidRPr="00B44B50">
        <w:t xml:space="preserve">India-based Peptris Technologies focuses on AI-enabled preclinical drug discovery. Its platform uses unsupervised learning, generative AI and molecular-language models to generate novel molecules, predict physicochemical and target-interaction properties, identify repurposing opportunities and rescue clinically tested molecules. It uses an asset-licensing and co-development model and outsources wet-lab work to CRO and biotechnology partners. </w:t>
      </w:r>
      <w:hyperlink r:id="rId33" w:history="1">
        <w:r w:rsidRPr="00B44B50">
          <w:rPr>
            <w:rStyle w:val="Hyperlink"/>
          </w:rPr>
          <w:t>[peptris.com]</w:t>
        </w:r>
      </w:hyperlink>
    </w:p>
    <w:p w14:paraId="3535B610" w14:textId="77777777" w:rsidR="00971AFB" w:rsidRPr="00B44B50" w:rsidRDefault="00971AFB" w:rsidP="00971AFB">
      <w:r w:rsidRPr="00B44B50">
        <w:t xml:space="preserve">The company raised </w:t>
      </w:r>
      <w:r w:rsidRPr="00B44B50">
        <w:rPr>
          <w:b/>
          <w:bCs/>
        </w:rPr>
        <w:t>₹70 crore, reported as approximately US$7.7 million, in a Series A round announced in February 2026</w:t>
      </w:r>
      <w:r w:rsidRPr="00B44B50">
        <w:t xml:space="preserve">. The round was co-led by IAN Alpha Fund and Speciale Invest, with participation from Tenacity Ventures, BYT Ventures and other investors. The stated use of proceeds was to advance programs toward clinical readiness, expand the pipeline and strengthen biology, chemistry, data-science and AI teams. </w:t>
      </w:r>
      <w:hyperlink r:id="rId34" w:history="1">
        <w:r w:rsidRPr="00B44B50">
          <w:rPr>
            <w:rStyle w:val="Hyperlink"/>
          </w:rPr>
          <w:t>[india.entr...reneur.com]</w:t>
        </w:r>
      </w:hyperlink>
    </w:p>
    <w:p w14:paraId="68965209" w14:textId="77777777" w:rsidR="00971AFB" w:rsidRPr="00B44B50" w:rsidRDefault="00971AFB" w:rsidP="00971AFB">
      <w:r w:rsidRPr="00B44B50">
        <w:t>Ownership: private and VC-backed. No disclosed investor stakes, revenue figure or clinical-stage drug was identified in the reviewed sources. Its evidence base is therefore preclinical and partnership-led rather than approval-led.</w:t>
      </w:r>
    </w:p>
    <w:p w14:paraId="69D61562" w14:textId="77777777" w:rsidR="00971AFB" w:rsidRPr="00B44B50" w:rsidRDefault="00971AFB" w:rsidP="00971AFB">
      <w:pPr>
        <w:rPr>
          <w:b/>
          <w:bCs/>
        </w:rPr>
      </w:pPr>
      <w:r w:rsidRPr="00B44B50">
        <w:rPr>
          <w:b/>
          <w:bCs/>
        </w:rPr>
        <w:t>Certara</w:t>
      </w:r>
    </w:p>
    <w:p w14:paraId="54FF42F1" w14:textId="77777777" w:rsidR="00971AFB" w:rsidRPr="00B44B50" w:rsidRDefault="00971AFB" w:rsidP="00971AFB">
      <w:r w:rsidRPr="00B44B50">
        <w:t>Certara occupies the downstream end of AI-enabled R&amp;D through biosimulation, model-informed drug development, quantitative pharmacology and regulatory science. Its platforms support dose selection, pharmacokinetic and pharmacodynamic modeling, clinical-trial design and regulatory submissions. It is not a pure generative molecule-design company, but it is highly relevant to the investable R&amp;D-software layer.</w:t>
      </w:r>
    </w:p>
    <w:p w14:paraId="5FB7F86E" w14:textId="77777777" w:rsidR="00971AFB" w:rsidRPr="00B44B50" w:rsidRDefault="00971AFB" w:rsidP="00971AFB">
      <w:r w:rsidRPr="00B44B50">
        <w:t xml:space="preserve">When EQT acquired Certara in 2017, the business served </w:t>
      </w:r>
      <w:r w:rsidRPr="00B44B50">
        <w:rPr>
          <w:b/>
          <w:bCs/>
        </w:rPr>
        <w:t>1,200 commercial companies, 250 academic institutions and regulatory agencies across 60 countries</w:t>
      </w:r>
      <w:r w:rsidRPr="00B44B50">
        <w:t xml:space="preserve">. The transaction valued Certara at </w:t>
      </w:r>
      <w:r w:rsidRPr="00B44B50">
        <w:rPr>
          <w:b/>
          <w:bCs/>
        </w:rPr>
        <w:t>US$850 million</w:t>
      </w:r>
      <w:r w:rsidRPr="00B44B50">
        <w:t xml:space="preserve">. </w:t>
      </w:r>
      <w:hyperlink r:id="rId35" w:history="1">
        <w:r w:rsidRPr="00B44B50">
          <w:rPr>
            <w:rStyle w:val="Hyperlink"/>
          </w:rPr>
          <w:t>[eqtgroup.com]</w:t>
        </w:r>
      </w:hyperlink>
    </w:p>
    <w:p w14:paraId="2FC28ED8" w14:textId="77777777" w:rsidR="00971AFB" w:rsidRPr="00B44B50" w:rsidRDefault="00971AFB" w:rsidP="00971AFB">
      <w:r w:rsidRPr="00B44B50">
        <w:t xml:space="preserve">Ownership: publicly listed on Nasdaq under </w:t>
      </w:r>
      <w:r w:rsidRPr="00B44B50">
        <w:rPr>
          <w:b/>
          <w:bCs/>
        </w:rPr>
        <w:t>CERT</w:t>
      </w:r>
      <w:r w:rsidRPr="00B44B50">
        <w:t xml:space="preserve">. In November 2022, Arsenal Capital Partners agreed to invest </w:t>
      </w:r>
      <w:r w:rsidRPr="00B44B50">
        <w:rPr>
          <w:b/>
          <w:bCs/>
        </w:rPr>
        <w:t>US$449 million</w:t>
      </w:r>
      <w:r w:rsidRPr="00B44B50">
        <w:t xml:space="preserve"> by purchasing approximately </w:t>
      </w:r>
      <w:r w:rsidRPr="00B44B50">
        <w:rPr>
          <w:b/>
          <w:bCs/>
        </w:rPr>
        <w:t>30 million shares at US$15 per share</w:t>
      </w:r>
      <w:r w:rsidRPr="00B44B50">
        <w:t xml:space="preserve">, which was expected to increase Arsenal’s diluted ownership from approximately </w:t>
      </w:r>
      <w:r w:rsidRPr="00B44B50">
        <w:rPr>
          <w:b/>
          <w:bCs/>
        </w:rPr>
        <w:t>4% to approximately 22%</w:t>
      </w:r>
      <w:r w:rsidRPr="00B44B50">
        <w:t xml:space="preserve">. </w:t>
      </w:r>
      <w:hyperlink r:id="rId36" w:history="1">
        <w:r w:rsidRPr="00B44B50">
          <w:rPr>
            <w:rStyle w:val="Hyperlink"/>
          </w:rPr>
          <w:t>[certara.com]</w:t>
        </w:r>
      </w:hyperlink>
    </w:p>
    <w:p w14:paraId="55EECA1C" w14:textId="77777777" w:rsidR="00971AFB" w:rsidRPr="00B44B50" w:rsidRDefault="00971AFB" w:rsidP="00971AFB">
      <w:pPr>
        <w:rPr>
          <w:b/>
          <w:bCs/>
        </w:rPr>
      </w:pPr>
      <w:r w:rsidRPr="00B44B50">
        <w:rPr>
          <w:b/>
          <w:bCs/>
        </w:rPr>
        <w:t>4. Porter's Five Forces</w:t>
      </w:r>
    </w:p>
    <w:p w14:paraId="44CC859D" w14:textId="77777777" w:rsidR="00971AFB" w:rsidRPr="00B44B50" w:rsidRDefault="00971AFB" w:rsidP="00971AFB">
      <w:pPr>
        <w:rPr>
          <w:b/>
          <w:bCs/>
        </w:rPr>
      </w:pPr>
      <w:r w:rsidRPr="00B44B50">
        <w:rPr>
          <w:b/>
          <w:bCs/>
        </w:rPr>
        <w:t>Competitive rivalry: 4/5, high</w:t>
      </w:r>
    </w:p>
    <w:p w14:paraId="752EB205" w14:textId="77777777" w:rsidR="00971AFB" w:rsidRPr="00B44B50" w:rsidRDefault="00971AFB" w:rsidP="00971AFB">
      <w:r w:rsidRPr="00B44B50">
        <w:t xml:space="preserve">Rivalry is high because the segment contains multiple business models competing for the same pharmaceutical R&amp;D budgets: software licensing, AI-enabled CRO services, platform </w:t>
      </w:r>
      <w:r w:rsidRPr="00B44B50">
        <w:lastRenderedPageBreak/>
        <w:t xml:space="preserve">partnerships, asset licensing and vertically integrated drug development. Competition is increasingly based on proprietary data, wet-lab integration, clinical proof and access to scarce scientific talent rather than model architecture alone. Consolidation is already occurring, illustrated by the approximately </w:t>
      </w:r>
      <w:r w:rsidRPr="00B44B50">
        <w:rPr>
          <w:b/>
          <w:bCs/>
        </w:rPr>
        <w:t>US$688 million Recursion-Exscientia merger</w:t>
      </w:r>
      <w:r w:rsidRPr="00B44B50">
        <w:t xml:space="preserve">. However, the top five players collectively held only </w:t>
      </w:r>
      <w:r w:rsidRPr="00B44B50">
        <w:rPr>
          <w:b/>
          <w:bCs/>
        </w:rPr>
        <w:t>11.8% of the market in 2025</w:t>
      </w:r>
      <w:r w:rsidRPr="00B44B50">
        <w:t xml:space="preserve"> under one market-research methodology, indicating fragmentation rather than a settled oligopoly. </w:t>
      </w:r>
      <w:hyperlink r:id="rId37" w:history="1">
        <w:r w:rsidRPr="00B44B50">
          <w:rPr>
            <w:rStyle w:val="Hyperlink"/>
          </w:rPr>
          <w:t>[pharmaphorum.com]</w:t>
        </w:r>
      </w:hyperlink>
      <w:r w:rsidRPr="00B44B50">
        <w:t xml:space="preserve"> </w:t>
      </w:r>
      <w:hyperlink r:id="rId38" w:history="1">
        <w:r w:rsidRPr="00B44B50">
          <w:rPr>
            <w:rStyle w:val="Hyperlink"/>
          </w:rPr>
          <w:t>[gminsights.com]</w:t>
        </w:r>
      </w:hyperlink>
    </w:p>
    <w:p w14:paraId="1B706FCA" w14:textId="77777777" w:rsidR="00971AFB" w:rsidRPr="00B44B50" w:rsidRDefault="00971AFB" w:rsidP="00971AFB">
      <w:pPr>
        <w:rPr>
          <w:b/>
          <w:bCs/>
        </w:rPr>
      </w:pPr>
      <w:r w:rsidRPr="00B44B50">
        <w:rPr>
          <w:b/>
          <w:bCs/>
        </w:rPr>
        <w:t>Buyer power: 4/5, high</w:t>
      </w:r>
    </w:p>
    <w:p w14:paraId="437D6988" w14:textId="77777777" w:rsidR="00971AFB" w:rsidRPr="00B44B50" w:rsidRDefault="00971AFB" w:rsidP="00971AFB">
      <w:r w:rsidRPr="00B44B50">
        <w:t xml:space="preserve">Large pharmaceutical buyers can run competitive evaluations, build internal AI teams, structure collaborations around milestones and terminate underperforming programs. They also control downstream clinical development, regulatory execution and commercialization. Headline partnership values can overstate supplier leverage because most consideration is contingent on development and commercial milestones. The Lilly-Insilico collaboration, for example, included </w:t>
      </w:r>
      <w:r w:rsidRPr="00B44B50">
        <w:rPr>
          <w:b/>
          <w:bCs/>
        </w:rPr>
        <w:t>US$115 million upfront versus up to US$2.63 billion of contingent milestones</w:t>
      </w:r>
      <w:r w:rsidRPr="00B44B50">
        <w:t xml:space="preserve">. Buyer power is lower for platforms with exceptional proprietary datasets, validated candidates or deeply embedded workflow software. </w:t>
      </w:r>
      <w:hyperlink r:id="rId39" w:history="1">
        <w:r w:rsidRPr="00B44B50">
          <w:rPr>
            <w:rStyle w:val="Hyperlink"/>
          </w:rPr>
          <w:t>[intuitionlabs.ai]</w:t>
        </w:r>
      </w:hyperlink>
    </w:p>
    <w:p w14:paraId="3D465562" w14:textId="77777777" w:rsidR="00971AFB" w:rsidRPr="00B44B50" w:rsidRDefault="00971AFB" w:rsidP="00971AFB">
      <w:pPr>
        <w:rPr>
          <w:b/>
          <w:bCs/>
        </w:rPr>
      </w:pPr>
      <w:r w:rsidRPr="00B44B50">
        <w:rPr>
          <w:b/>
          <w:bCs/>
        </w:rPr>
        <w:t>Supplier power: 3/5, moderate</w:t>
      </w:r>
    </w:p>
    <w:p w14:paraId="4E46554F" w14:textId="77777777" w:rsidR="00971AFB" w:rsidRPr="00B44B50" w:rsidRDefault="00971AFB" w:rsidP="00971AFB">
      <w:r w:rsidRPr="00B44B50">
        <w:t>Critical inputs include proprietary biological and chemical data, high-quality assay results, computational infrastructure, specialist medicinal chemists, translational scientists and access to wet labs. Cloud and GPU capacity can be purchased from multiple providers, but differentiated experimental datasets and experienced cross-disciplinary teams are difficult to replicate. Supplier power is moderated by open scientific datasets and models, but these also reduce differentiation for software-only entrants.</w:t>
      </w:r>
    </w:p>
    <w:p w14:paraId="7B43A730" w14:textId="77777777" w:rsidR="00971AFB" w:rsidRPr="00B44B50" w:rsidRDefault="00971AFB" w:rsidP="00971AFB">
      <w:pPr>
        <w:rPr>
          <w:b/>
          <w:bCs/>
        </w:rPr>
      </w:pPr>
      <w:r w:rsidRPr="00B44B50">
        <w:rPr>
          <w:b/>
          <w:bCs/>
        </w:rPr>
        <w:t>Threat of new entrants: 3/5, moderate</w:t>
      </w:r>
    </w:p>
    <w:p w14:paraId="6D71E76D" w14:textId="77777777" w:rsidR="00971AFB" w:rsidRPr="00B44B50" w:rsidRDefault="00971AFB" w:rsidP="00971AFB">
      <w:r w:rsidRPr="00B44B50">
        <w:t xml:space="preserve">Foundation models, cloud computing and open-source chemistry tools reduce the cost of building a credible demonstration. However, moving from demonstration to a validated discovery engine requires proprietary data, reproducible wet-lab feedback, pharmaceutical-grade security, regulatory documentation and years of biological validation. The large funding requirements of scaled entrants are illustrated by Isomorphic Labs’ </w:t>
      </w:r>
      <w:r w:rsidRPr="00B44B50">
        <w:rPr>
          <w:b/>
          <w:bCs/>
        </w:rPr>
        <w:t>US$2.1 billion Series B</w:t>
      </w:r>
      <w:r w:rsidRPr="00B44B50">
        <w:t xml:space="preserve">. Entry is therefore easy at the application layer but difficult at the integrated-platform and therapeutic-asset layers. </w:t>
      </w:r>
      <w:hyperlink r:id="rId40" w:history="1">
        <w:r w:rsidRPr="00B44B50">
          <w:rPr>
            <w:rStyle w:val="Hyperlink"/>
          </w:rPr>
          <w:t>[isomorphiclabs.com]</w:t>
        </w:r>
      </w:hyperlink>
    </w:p>
    <w:p w14:paraId="45C83EB4" w14:textId="77777777" w:rsidR="00971AFB" w:rsidRPr="00B44B50" w:rsidRDefault="00971AFB" w:rsidP="00971AFB">
      <w:pPr>
        <w:rPr>
          <w:b/>
          <w:bCs/>
        </w:rPr>
      </w:pPr>
      <w:r w:rsidRPr="00B44B50">
        <w:rPr>
          <w:b/>
          <w:bCs/>
        </w:rPr>
        <w:t>Threat of substitutes: 4/5, high</w:t>
      </w:r>
    </w:p>
    <w:p w14:paraId="2E1A4DD8" w14:textId="77777777" w:rsidR="00971AFB" w:rsidRPr="00B44B50" w:rsidRDefault="00971AFB" w:rsidP="00971AFB">
      <w:r w:rsidRPr="00B44B50">
        <w:lastRenderedPageBreak/>
        <w:t>Substitutes include internal pharmaceutical AI teams, conventional computational chemistry, physics-based simulation, traditional CRO services, high-throughput screening and academic collaborations. AI typically prioritizes experiments rather than eliminating medicinal chemistry, biological validation or clinical trials. The threat is strongest for undifferentiated point solutions and lowest where a platform is embedded in end-to-end laboratory and decision workflows.</w:t>
      </w:r>
    </w:p>
    <w:p w14:paraId="422911C3" w14:textId="77777777" w:rsidR="00971AFB" w:rsidRPr="00B44B50" w:rsidRDefault="00971AFB" w:rsidP="00971AFB">
      <w:pPr>
        <w:rPr>
          <w:b/>
          <w:bCs/>
        </w:rPr>
      </w:pPr>
      <w:r w:rsidRPr="00B44B50">
        <w:rPr>
          <w:b/>
          <w:bCs/>
        </w:rPr>
        <w:t>5. PE Firms Present, Stakes, and Strategic Vision</w:t>
      </w:r>
    </w:p>
    <w:p w14:paraId="3C9B4BD1" w14:textId="77777777" w:rsidR="00971AFB" w:rsidRPr="00B44B50" w:rsidRDefault="00971AFB" w:rsidP="00971AFB">
      <w:pPr>
        <w:rPr>
          <w:b/>
          <w:bCs/>
        </w:rPr>
      </w:pPr>
      <w:r w:rsidRPr="00B44B50">
        <w:rPr>
          <w:b/>
          <w:bCs/>
        </w:rPr>
        <w:t>Warburg Pincus in Insilico Medicine</w:t>
      </w:r>
    </w:p>
    <w:p w14:paraId="2CB872EF" w14:textId="77777777" w:rsidR="00971AFB" w:rsidRPr="00B44B50" w:rsidRDefault="00971AFB" w:rsidP="00971AFB">
      <w:r w:rsidRPr="00B44B50">
        <w:t xml:space="preserve">Warburg Pincus led Insilico’s </w:t>
      </w:r>
      <w:r w:rsidRPr="00B44B50">
        <w:rPr>
          <w:b/>
          <w:bCs/>
        </w:rPr>
        <w:t>US$255 million Series C on 22 June 2021</w:t>
      </w:r>
      <w:r w:rsidRPr="00B44B50">
        <w:t xml:space="preserve">. The ownership stake was not disclosed. Its stated use of proceeds was to move therapeutic programs into human trials, initiate programs against novel and difficult targets and expand AI and drug-discovery capabilities. A Warburg Pincus managing director joined the board. </w:t>
      </w:r>
      <w:hyperlink r:id="rId41" w:history="1">
        <w:r w:rsidRPr="00B44B50">
          <w:rPr>
            <w:rStyle w:val="Hyperlink"/>
          </w:rPr>
          <w:t>[warburgpincus.com]</w:t>
        </w:r>
      </w:hyperlink>
    </w:p>
    <w:p w14:paraId="3B1E04C7" w14:textId="77777777" w:rsidR="00971AFB" w:rsidRPr="00B44B50" w:rsidRDefault="00971AFB" w:rsidP="00971AFB">
      <w:r w:rsidRPr="00B44B50">
        <w:rPr>
          <w:b/>
          <w:bCs/>
        </w:rPr>
        <w:t>Value-creation thesis:</w:t>
      </w:r>
      <w:r w:rsidRPr="00B44B50">
        <w:t xml:space="preserve"> scale an end-to-end platform into a clinical-stage biotechnology company, creating value through a combination of software, partnered discovery programs and internally owned therapeutic assets. This is growth equity rather than a traditional leveraged buyout.</w:t>
      </w:r>
    </w:p>
    <w:p w14:paraId="09AA2ADA" w14:textId="77777777" w:rsidR="00971AFB" w:rsidRPr="00B44B50" w:rsidRDefault="00971AFB" w:rsidP="00971AFB">
      <w:pPr>
        <w:rPr>
          <w:b/>
          <w:bCs/>
        </w:rPr>
      </w:pPr>
      <w:r w:rsidRPr="00B44B50">
        <w:rPr>
          <w:b/>
          <w:bCs/>
        </w:rPr>
        <w:t>Insight Partners in Dotmatics</w:t>
      </w:r>
    </w:p>
    <w:p w14:paraId="603A9787" w14:textId="77777777" w:rsidR="00971AFB" w:rsidRPr="00B44B50" w:rsidRDefault="00971AFB" w:rsidP="00971AFB">
      <w:r w:rsidRPr="00B44B50">
        <w:t xml:space="preserve">Insight Partners began its investment in Dotmatics in </w:t>
      </w:r>
      <w:r w:rsidRPr="00B44B50">
        <w:rPr>
          <w:b/>
          <w:bCs/>
        </w:rPr>
        <w:t>2017</w:t>
      </w:r>
      <w:r w:rsidRPr="00B44B50">
        <w:t xml:space="preserve"> and supported </w:t>
      </w:r>
      <w:r w:rsidRPr="00B44B50">
        <w:rPr>
          <w:b/>
          <w:bCs/>
        </w:rPr>
        <w:t>14 strategic acquisitions</w:t>
      </w:r>
      <w:r w:rsidRPr="00B44B50">
        <w:t xml:space="preserve">, according to its account of the investment. In 2021, Insight-backed Insightful Science agreed to acquire Dotmatics and combine the businesses into a cloud-first scientific R&amp;D platform serving more than </w:t>
      </w:r>
      <w:r w:rsidRPr="00B44B50">
        <w:rPr>
          <w:b/>
          <w:bCs/>
        </w:rPr>
        <w:t>one million scientists</w:t>
      </w:r>
      <w:r w:rsidRPr="00B44B50">
        <w:t xml:space="preserve"> and generating more than </w:t>
      </w:r>
      <w:r w:rsidRPr="00B44B50">
        <w:rPr>
          <w:b/>
          <w:bCs/>
        </w:rPr>
        <w:t>US$100 million of ARR</w:t>
      </w:r>
      <w:r w:rsidRPr="00B44B50">
        <w:t xml:space="preserve">. The 2021 purchase price and Insight’s precise ownership stake were not disclosed. </w:t>
      </w:r>
      <w:hyperlink r:id="rId42" w:history="1">
        <w:r w:rsidRPr="00B44B50">
          <w:rPr>
            <w:rStyle w:val="Hyperlink"/>
          </w:rPr>
          <w:t>[linkedin.com]</w:t>
        </w:r>
      </w:hyperlink>
      <w:r w:rsidRPr="00B44B50">
        <w:t xml:space="preserve"> </w:t>
      </w:r>
      <w:hyperlink r:id="rId43" w:history="1">
        <w:r w:rsidRPr="00B44B50">
          <w:rPr>
            <w:rStyle w:val="Hyperlink"/>
          </w:rPr>
          <w:t>[dotmatics.com]</w:t>
        </w:r>
      </w:hyperlink>
    </w:p>
    <w:p w14:paraId="42D407EF" w14:textId="77777777" w:rsidR="00971AFB" w:rsidRPr="00B44B50" w:rsidRDefault="00971AFB" w:rsidP="00971AFB">
      <w:r w:rsidRPr="00B44B50">
        <w:t xml:space="preserve">Siemens subsequently agreed to acquire Dotmatics from Insight Partners for </w:t>
      </w:r>
      <w:r w:rsidRPr="00B44B50">
        <w:rPr>
          <w:b/>
          <w:bCs/>
        </w:rPr>
        <w:t>US$5.1 billion on 2 April 2025</w:t>
      </w:r>
      <w:r w:rsidRPr="00B44B50">
        <w:t xml:space="preserve">. </w:t>
      </w:r>
      <w:hyperlink r:id="rId44" w:history="1">
        <w:r w:rsidRPr="00B44B50">
          <w:rPr>
            <w:rStyle w:val="Hyperlink"/>
          </w:rPr>
          <w:t>[dotmatics.com]</w:t>
        </w:r>
      </w:hyperlink>
    </w:p>
    <w:p w14:paraId="5B413942" w14:textId="77777777" w:rsidR="00971AFB" w:rsidRPr="00B44B50" w:rsidRDefault="00971AFB" w:rsidP="00971AFB">
      <w:r w:rsidRPr="00B44B50">
        <w:rPr>
          <w:b/>
          <w:bCs/>
        </w:rPr>
        <w:t>Value-creation thesis:</w:t>
      </w:r>
      <w:r w:rsidRPr="00B44B50">
        <w:t xml:space="preserve"> execute a buy-and-build strategy across laboratory data management, bioinformatics and scientific applications; migrate users toward an integrated cloud platform; and position the asset as the data and workflow layer required for AI-enabled R&amp;D. The exit to Siemens demonstrates that strategic buyers may pay more for recurring, workflow-embedded R&amp;D infrastructure than for binary-risk drug pipelines.</w:t>
      </w:r>
    </w:p>
    <w:p w14:paraId="703E8638" w14:textId="77777777" w:rsidR="00971AFB" w:rsidRPr="00B44B50" w:rsidRDefault="00971AFB" w:rsidP="00971AFB">
      <w:pPr>
        <w:rPr>
          <w:b/>
          <w:bCs/>
        </w:rPr>
      </w:pPr>
      <w:r w:rsidRPr="00B44B50">
        <w:rPr>
          <w:b/>
          <w:bCs/>
        </w:rPr>
        <w:t>EQT and Arsenal Capital Partners in Certara</w:t>
      </w:r>
    </w:p>
    <w:p w14:paraId="29B00C1B" w14:textId="77777777" w:rsidR="00971AFB" w:rsidRPr="00B44B50" w:rsidRDefault="00971AFB" w:rsidP="00971AFB">
      <w:r w:rsidRPr="00B44B50">
        <w:lastRenderedPageBreak/>
        <w:t xml:space="preserve">EQT acquired Certara from Arsenal in </w:t>
      </w:r>
      <w:r w:rsidRPr="00B44B50">
        <w:rPr>
          <w:b/>
          <w:bCs/>
        </w:rPr>
        <w:t>July 2017 for an enterprise value of US$850 million</w:t>
      </w:r>
      <w:r w:rsidRPr="00B44B50">
        <w:t xml:space="preserve">, while Arsenal retained an undisclosed minority stake. EQT stated that it would support next-generation technology, international expansion and complementary acquisitions. Certara completed an IPO in </w:t>
      </w:r>
      <w:r w:rsidRPr="00B44B50">
        <w:rPr>
          <w:b/>
          <w:bCs/>
        </w:rPr>
        <w:t>2020</w:t>
      </w:r>
      <w:r w:rsidRPr="00B44B50">
        <w:t xml:space="preserve">. </w:t>
      </w:r>
      <w:hyperlink r:id="rId45" w:history="1">
        <w:r w:rsidRPr="00B44B50">
          <w:rPr>
            <w:rStyle w:val="Hyperlink"/>
          </w:rPr>
          <w:t>[eqtgroup.com]</w:t>
        </w:r>
      </w:hyperlink>
      <w:r w:rsidRPr="00B44B50">
        <w:t xml:space="preserve"> </w:t>
      </w:r>
      <w:hyperlink r:id="rId46" w:history="1">
        <w:r w:rsidRPr="00B44B50">
          <w:rPr>
            <w:rStyle w:val="Hyperlink"/>
          </w:rPr>
          <w:t>[certara.com]</w:t>
        </w:r>
      </w:hyperlink>
    </w:p>
    <w:p w14:paraId="61CD21BA" w14:textId="77777777" w:rsidR="00971AFB" w:rsidRPr="00B44B50" w:rsidRDefault="00971AFB" w:rsidP="00971AFB">
      <w:r w:rsidRPr="00B44B50">
        <w:t xml:space="preserve">In November 2022, Arsenal agreed to make a </w:t>
      </w:r>
      <w:r w:rsidRPr="00B44B50">
        <w:rPr>
          <w:b/>
          <w:bCs/>
        </w:rPr>
        <w:t>US$449 million</w:t>
      </w:r>
      <w:r w:rsidRPr="00B44B50">
        <w:t xml:space="preserve"> investment by acquiring approximately </w:t>
      </w:r>
      <w:r w:rsidRPr="00B44B50">
        <w:rPr>
          <w:b/>
          <w:bCs/>
        </w:rPr>
        <w:t>30 million shares at US$15 per share</w:t>
      </w:r>
      <w:r w:rsidRPr="00B44B50">
        <w:t xml:space="preserve"> from EQT-controlled funds, taking Arsenal’s expected diluted ownership to approximately </w:t>
      </w:r>
      <w:r w:rsidRPr="00B44B50">
        <w:rPr>
          <w:b/>
          <w:bCs/>
        </w:rPr>
        <w:t>22%</w:t>
      </w:r>
      <w:r w:rsidRPr="00B44B50">
        <w:t xml:space="preserve">. </w:t>
      </w:r>
      <w:hyperlink r:id="rId47" w:history="1">
        <w:r w:rsidRPr="00B44B50">
          <w:rPr>
            <w:rStyle w:val="Hyperlink"/>
          </w:rPr>
          <w:t>[certara.com]</w:t>
        </w:r>
      </w:hyperlink>
    </w:p>
    <w:p w14:paraId="1593C612" w14:textId="77777777" w:rsidR="00971AFB" w:rsidRPr="00B44B50" w:rsidRDefault="00971AFB" w:rsidP="00971AFB">
      <w:r w:rsidRPr="00B44B50">
        <w:rPr>
          <w:b/>
          <w:bCs/>
        </w:rPr>
        <w:t>Value-creation thesis:</w:t>
      </w:r>
      <w:r w:rsidRPr="00B44B50">
        <w:t xml:space="preserve"> expand adoption of biosimulation and model-informed drug development, deepen regulatory-science capabilities and consolidate complementary software and services. The investment is supported by recurring pharmaceutical workflows and diversified customers rather than dependence on a single therapeutic asset.</w:t>
      </w:r>
    </w:p>
    <w:p w14:paraId="612270C9" w14:textId="77777777" w:rsidR="00971AFB" w:rsidRPr="00B44B50" w:rsidRDefault="00971AFB" w:rsidP="00971AFB">
      <w:pPr>
        <w:rPr>
          <w:b/>
          <w:bCs/>
        </w:rPr>
      </w:pPr>
      <w:r w:rsidRPr="00B44B50">
        <w:rPr>
          <w:b/>
          <w:bCs/>
        </w:rPr>
        <w:t>Blackstone Growth in DNAnexus</w:t>
      </w:r>
    </w:p>
    <w:p w14:paraId="014DBD78" w14:textId="77777777" w:rsidR="00971AFB" w:rsidRPr="00B44B50" w:rsidRDefault="00971AFB" w:rsidP="00971AFB">
      <w:r w:rsidRPr="00B44B50">
        <w:t xml:space="preserve">Blackstone Growth led a </w:t>
      </w:r>
      <w:r w:rsidRPr="00B44B50">
        <w:rPr>
          <w:b/>
          <w:bCs/>
        </w:rPr>
        <w:t>US$200 million financing in March 2022</w:t>
      </w:r>
      <w:r w:rsidRPr="00B44B50">
        <w:t xml:space="preserve"> for DNAnexus, a cloud platform for biomedical, genomic, multi-omic and clinical data. The stake was not disclosed. At the time, DNAnexus reported more than </w:t>
      </w:r>
      <w:r w:rsidRPr="00B44B50">
        <w:rPr>
          <w:b/>
          <w:bCs/>
        </w:rPr>
        <w:t>12,000 users across 48 countries</w:t>
      </w:r>
      <w:r w:rsidRPr="00B44B50">
        <w:t xml:space="preserve">, customers including </w:t>
      </w:r>
      <w:r w:rsidRPr="00B44B50">
        <w:rPr>
          <w:b/>
          <w:bCs/>
        </w:rPr>
        <w:t>seven of the top ten pharmaceutical companies</w:t>
      </w:r>
      <w:r w:rsidRPr="00B44B50">
        <w:t xml:space="preserve">, and more than </w:t>
      </w:r>
      <w:r w:rsidRPr="00B44B50">
        <w:rPr>
          <w:b/>
          <w:bCs/>
        </w:rPr>
        <w:t>65 petabytes of data stored</w:t>
      </w:r>
      <w:r w:rsidRPr="00B44B50">
        <w:t xml:space="preserve">. </w:t>
      </w:r>
      <w:hyperlink r:id="rId48" w:history="1">
        <w:r w:rsidRPr="00B44B50">
          <w:rPr>
            <w:rStyle w:val="Hyperlink"/>
          </w:rPr>
          <w:t>[blackstone.com]</w:t>
        </w:r>
      </w:hyperlink>
    </w:p>
    <w:p w14:paraId="1E6A4E08" w14:textId="77777777" w:rsidR="00971AFB" w:rsidRPr="00B44B50" w:rsidRDefault="00971AFB" w:rsidP="00971AFB">
      <w:r w:rsidRPr="00B44B50">
        <w:rPr>
          <w:b/>
          <w:bCs/>
        </w:rPr>
        <w:t>Value-creation thesis:</w:t>
      </w:r>
      <w:r w:rsidRPr="00B44B50">
        <w:t xml:space="preserve"> scale the governed data infrastructure that pharmaceutical companies need before AI models can be trained and deployed reliably. This is an adjacent-enabler investment rather than a direct bet on an AI-designed therapeutic.</w:t>
      </w:r>
    </w:p>
    <w:p w14:paraId="6F404D8A" w14:textId="77777777" w:rsidR="00971AFB" w:rsidRPr="00B44B50" w:rsidRDefault="00971AFB" w:rsidP="00971AFB">
      <w:pPr>
        <w:rPr>
          <w:b/>
          <w:bCs/>
        </w:rPr>
      </w:pPr>
      <w:r w:rsidRPr="00B44B50">
        <w:rPr>
          <w:b/>
          <w:bCs/>
        </w:rPr>
        <w:t>PE-market conclusion</w:t>
      </w:r>
    </w:p>
    <w:p w14:paraId="10EB9B2A" w14:textId="77777777" w:rsidR="00971AFB" w:rsidRPr="00B44B50" w:rsidRDefault="00971AFB" w:rsidP="00971AFB">
      <w:r w:rsidRPr="00B44B50">
        <w:t xml:space="preserve">Traditional control buyouts remain limited in pure-play AI drug discovery because many companies are loss-making, clinically immature and dependent on contingent milestones. PE activity is more established in </w:t>
      </w:r>
      <w:r w:rsidRPr="00B44B50">
        <w:rPr>
          <w:b/>
          <w:bCs/>
        </w:rPr>
        <w:t>R&amp;D software, biosimulation, biomedical data infrastructure and scientific workflow platforms</w:t>
      </w:r>
      <w:r w:rsidRPr="00B44B50">
        <w:t>, where recurring revenue, customer retention and buy-and-build strategies are more compatible with PE underwriting.</w:t>
      </w:r>
    </w:p>
    <w:p w14:paraId="39AC450B" w14:textId="77777777" w:rsidR="00971AFB" w:rsidRPr="00B44B50" w:rsidRDefault="00971AFB" w:rsidP="00971AFB">
      <w:pPr>
        <w:rPr>
          <w:b/>
          <w:bCs/>
        </w:rPr>
      </w:pPr>
      <w:r w:rsidRPr="00B44B50">
        <w:rPr>
          <w:b/>
          <w:bCs/>
        </w:rPr>
        <w:t>6. Regulatory Context (US + India)</w:t>
      </w:r>
    </w:p>
    <w:p w14:paraId="20E185F9" w14:textId="77777777" w:rsidR="00971AFB" w:rsidRPr="00B44B50" w:rsidRDefault="00971AFB" w:rsidP="00971AFB">
      <w:pPr>
        <w:rPr>
          <w:b/>
          <w:bCs/>
        </w:rPr>
      </w:pPr>
      <w:r w:rsidRPr="00B44B50">
        <w:rPr>
          <w:b/>
          <w:bCs/>
        </w:rPr>
        <w:t>United States</w:t>
      </w:r>
    </w:p>
    <w:p w14:paraId="06DD662C" w14:textId="77777777" w:rsidR="00971AFB" w:rsidRPr="00B44B50" w:rsidRDefault="00971AFB" w:rsidP="00971AFB">
      <w:r w:rsidRPr="00B44B50">
        <w:t>The relevant bodies are the FDA’s Center for Drug Evaluation and Research, Center for Biologics Evaluation and Research and, where combination products or software-based trial endpoints are involved, the Center for Devices and Radiological Health.</w:t>
      </w:r>
    </w:p>
    <w:p w14:paraId="76A548C0" w14:textId="77777777" w:rsidR="00971AFB" w:rsidRPr="00B44B50" w:rsidRDefault="00971AFB" w:rsidP="00971AFB">
      <w:r w:rsidRPr="00B44B50">
        <w:t xml:space="preserve">The FDA issued draft guidance in </w:t>
      </w:r>
      <w:r w:rsidRPr="00B44B50">
        <w:rPr>
          <w:b/>
          <w:bCs/>
        </w:rPr>
        <w:t>January 2025</w:t>
      </w:r>
      <w:r w:rsidRPr="00B44B50">
        <w:t xml:space="preserve"> covering AI models that generate information used to support regulatory decisions about a drug or biologic’s safety, </w:t>
      </w:r>
      <w:r w:rsidRPr="00B44B50">
        <w:lastRenderedPageBreak/>
        <w:t xml:space="preserve">effectiveness or quality. It proposes a risk-based credibility assessment tied to the model’s specific context of use. The framework was informed partly by FDA experience with </w:t>
      </w:r>
      <w:r w:rsidRPr="00B44B50">
        <w:rPr>
          <w:b/>
          <w:bCs/>
        </w:rPr>
        <w:t>more than 500 submissions containing AI components from 2016 through 2023</w:t>
      </w:r>
      <w:r w:rsidRPr="00B44B50">
        <w:t xml:space="preserve"> and more than </w:t>
      </w:r>
      <w:r w:rsidRPr="00B44B50">
        <w:rPr>
          <w:b/>
          <w:bCs/>
        </w:rPr>
        <w:t>800 external comments</w:t>
      </w:r>
      <w:r w:rsidRPr="00B44B50">
        <w:t xml:space="preserve"> on its 2023 discussion paper. </w:t>
      </w:r>
      <w:hyperlink r:id="rId49" w:history="1">
        <w:r w:rsidRPr="00B44B50">
          <w:rPr>
            <w:rStyle w:val="Hyperlink"/>
          </w:rPr>
          <w:t>[fda.gov]</w:t>
        </w:r>
      </w:hyperlink>
      <w:r w:rsidRPr="00B44B50">
        <w:t xml:space="preserve">, </w:t>
      </w:r>
      <w:hyperlink r:id="rId50" w:history="1">
        <w:r w:rsidRPr="00B44B50">
          <w:rPr>
            <w:rStyle w:val="Hyperlink"/>
          </w:rPr>
          <w:t>[fda.gov]</w:t>
        </w:r>
      </w:hyperlink>
      <w:r w:rsidRPr="00B44B50">
        <w:t xml:space="preserve"> </w:t>
      </w:r>
      <w:hyperlink r:id="rId51" w:history="1">
        <w:r w:rsidRPr="00B44B50">
          <w:rPr>
            <w:rStyle w:val="Hyperlink"/>
          </w:rPr>
          <w:t>[fda.gov]</w:t>
        </w:r>
      </w:hyperlink>
    </w:p>
    <w:p w14:paraId="3DE4D261" w14:textId="77777777" w:rsidR="00971AFB" w:rsidRPr="00B44B50" w:rsidRDefault="00971AFB" w:rsidP="00971AFB">
      <w:r w:rsidRPr="00B44B50">
        <w:t xml:space="preserve">A critical investment distinction is that discovery-only applications, such as initial target identification or molecular screening that do not produce evidence supporting a regulatory decision, are outside the draft guidance’s stated scope. Once AI output influences nonclinical evidence, patient selection, trial design, endpoint analysis, manufacturing controls or safety evaluation, documentation of data provenance, model validation, context of use and change control becomes more important. </w:t>
      </w:r>
      <w:hyperlink r:id="rId52" w:history="1">
        <w:r w:rsidRPr="00B44B50">
          <w:rPr>
            <w:rStyle w:val="Hyperlink"/>
          </w:rPr>
          <w:t>[fda.gov]</w:t>
        </w:r>
      </w:hyperlink>
      <w:r w:rsidRPr="00B44B50">
        <w:t xml:space="preserve">, </w:t>
      </w:r>
      <w:hyperlink r:id="rId53" w:history="1">
        <w:r w:rsidRPr="00B44B50">
          <w:rPr>
            <w:rStyle w:val="Hyperlink"/>
          </w:rPr>
          <w:t>[intuitionlabs.ai]</w:t>
        </w:r>
      </w:hyperlink>
    </w:p>
    <w:p w14:paraId="0E67AAFC" w14:textId="77777777" w:rsidR="00971AFB" w:rsidRPr="00B44B50" w:rsidRDefault="00971AFB" w:rsidP="00971AFB">
      <w:r w:rsidRPr="00B44B50">
        <w:t xml:space="preserve">As of July 2026, the January 2025 guidance remained in draft according to contemporary regulatory reporting, leaving uncertainty over the final documentation and validation burden. This creates a near-term advantage for platforms that already maintain auditable data lineage, version control, reproducibility and context-specific validation. </w:t>
      </w:r>
      <w:hyperlink r:id="rId54" w:history="1">
        <w:r w:rsidRPr="00B44B50">
          <w:rPr>
            <w:rStyle w:val="Hyperlink"/>
          </w:rPr>
          <w:t>[drugdiscov...rynews.com]</w:t>
        </w:r>
      </w:hyperlink>
    </w:p>
    <w:p w14:paraId="3A172D8F" w14:textId="77777777" w:rsidR="00971AFB" w:rsidRPr="00B44B50" w:rsidRDefault="00971AFB" w:rsidP="00971AFB">
      <w:r w:rsidRPr="00B44B50">
        <w:t>FDA “clearance” counts for SaMD should not be used to assess this market. A generative chemistry model is not ordinarily cleared as a medical device merely because it supports discovery; the resulting drug proceeds through the normal investigational and marketing-approval pathways.</w:t>
      </w:r>
    </w:p>
    <w:p w14:paraId="263BA0A4" w14:textId="77777777" w:rsidR="00971AFB" w:rsidRPr="00B44B50" w:rsidRDefault="00971AFB" w:rsidP="00971AFB">
      <w:pPr>
        <w:rPr>
          <w:b/>
          <w:bCs/>
        </w:rPr>
      </w:pPr>
      <w:r w:rsidRPr="00B44B50">
        <w:rPr>
          <w:b/>
          <w:bCs/>
        </w:rPr>
        <w:t>India</w:t>
      </w:r>
    </w:p>
    <w:p w14:paraId="588E7750" w14:textId="77777777" w:rsidR="00971AFB" w:rsidRPr="00B44B50" w:rsidRDefault="00971AFB" w:rsidP="00971AFB">
      <w:r w:rsidRPr="00B44B50">
        <w:t xml:space="preserve">The principal regulator is the Central Drugs Standard Control Organisation, led by the Drugs Controller General of India. CDSCO is responsible for new-drug approvals, clinical-trial permissions, drug standards, imported-drug quality and coordination with state drug regulators under the Drugs and Cosmetics Act and applicable rules. </w:t>
      </w:r>
      <w:hyperlink r:id="rId55" w:history="1">
        <w:r w:rsidRPr="00B44B50">
          <w:rPr>
            <w:rStyle w:val="Hyperlink"/>
          </w:rPr>
          <w:t>[CDSCO]</w:t>
        </w:r>
      </w:hyperlink>
    </w:p>
    <w:p w14:paraId="6C8419B1" w14:textId="77777777" w:rsidR="00971AFB" w:rsidRPr="00B44B50" w:rsidRDefault="00971AFB" w:rsidP="00971AFB">
      <w:r w:rsidRPr="00B44B50">
        <w:t xml:space="preserve">AI-designed drugs are not subject to a separate CDSCO approval pathway solely because AI was used in discovery. Once a candidate moves into human testing, it must follow India’s clinical-trial and new-drug requirements, including applications through the SUGAM portal. CDSCO states that SUGAM supports applications for permissions to manufacture, import or conduct clinical trials. </w:t>
      </w:r>
      <w:hyperlink r:id="rId56" w:history="1">
        <w:r w:rsidRPr="00B44B50">
          <w:rPr>
            <w:rStyle w:val="Hyperlink"/>
          </w:rPr>
          <w:t>[CDSCO]</w:t>
        </w:r>
      </w:hyperlink>
    </w:p>
    <w:p w14:paraId="22DA8F24" w14:textId="77777777" w:rsidR="00971AFB" w:rsidRPr="00B44B50" w:rsidRDefault="00971AFB" w:rsidP="00971AFB">
      <w:r w:rsidRPr="00B44B50">
        <w:t>Relevant 2025–2026 developments include:</w:t>
      </w:r>
    </w:p>
    <w:p w14:paraId="35B22B06" w14:textId="77777777" w:rsidR="00971AFB" w:rsidRPr="00B44B50" w:rsidRDefault="00971AFB" w:rsidP="00971AFB">
      <w:pPr>
        <w:numPr>
          <w:ilvl w:val="0"/>
          <w:numId w:val="1"/>
        </w:numPr>
      </w:pPr>
      <w:r w:rsidRPr="00B44B50">
        <w:t xml:space="preserve">CDSCO invited comments on revised </w:t>
      </w:r>
      <w:r w:rsidRPr="00B44B50">
        <w:rPr>
          <w:b/>
          <w:bCs/>
        </w:rPr>
        <w:t>2025 Guidelines on Similar Biologics</w:t>
      </w:r>
      <w:r w:rsidRPr="00B44B50">
        <w:t xml:space="preserve">, potentially relevant to AI-enabled biologics programs, although this is not an AI-specific framework. </w:t>
      </w:r>
      <w:hyperlink r:id="rId57" w:history="1">
        <w:r w:rsidRPr="00B44B50">
          <w:rPr>
            <w:rStyle w:val="Hyperlink"/>
          </w:rPr>
          <w:t>[cdsco.gov.in]</w:t>
        </w:r>
      </w:hyperlink>
    </w:p>
    <w:p w14:paraId="0F2961F2" w14:textId="77777777" w:rsidR="00971AFB" w:rsidRPr="00B44B50" w:rsidRDefault="00971AFB" w:rsidP="00971AFB">
      <w:pPr>
        <w:numPr>
          <w:ilvl w:val="0"/>
          <w:numId w:val="1"/>
        </w:numPr>
      </w:pPr>
      <w:r w:rsidRPr="00B44B50">
        <w:lastRenderedPageBreak/>
        <w:t xml:space="preserve">CDSCO initiated procurement for a Digital Drug Regulatory System in </w:t>
      </w:r>
      <w:r w:rsidRPr="00B44B50">
        <w:rPr>
          <w:b/>
          <w:bCs/>
        </w:rPr>
        <w:t>2026</w:t>
      </w:r>
      <w:r w:rsidRPr="00B44B50">
        <w:t xml:space="preserve">, indicating continued digitization of drug and device regulation. The public CDSCO notice confirms the DDRS procurement, but it does not itself establish a new legal approval pathway for AI-discovered drugs. </w:t>
      </w:r>
      <w:hyperlink r:id="rId58" w:history="1">
        <w:r w:rsidRPr="00B44B50">
          <w:rPr>
            <w:rStyle w:val="Hyperlink"/>
          </w:rPr>
          <w:t>[cdsco.gov.in]</w:t>
        </w:r>
      </w:hyperlink>
    </w:p>
    <w:p w14:paraId="419F2F72" w14:textId="77777777" w:rsidR="00971AFB" w:rsidRPr="00B44B50" w:rsidRDefault="00971AFB" w:rsidP="00971AFB">
      <w:pPr>
        <w:numPr>
          <w:ilvl w:val="0"/>
          <w:numId w:val="1"/>
        </w:numPr>
      </w:pPr>
      <w:r w:rsidRPr="00B44B50">
        <w:t xml:space="preserve">IndiaAI and the Indian Council of Medical Research were reported to have entered a </w:t>
      </w:r>
      <w:r w:rsidRPr="00B44B50">
        <w:rPr>
          <w:b/>
          <w:bCs/>
        </w:rPr>
        <w:t>2026 strategic partnership</w:t>
      </w:r>
      <w:r w:rsidRPr="00B44B50">
        <w:t xml:space="preserve"> to combine AI infrastructure with biomedical-research capabilities. The available source is a market-research publication rather than an official agreement text, so the scope and implementation should be treated as not independently verified here. </w:t>
      </w:r>
      <w:hyperlink r:id="rId59" w:history="1">
        <w:r w:rsidRPr="00B44B50">
          <w:rPr>
            <w:rStyle w:val="Hyperlink"/>
          </w:rPr>
          <w:t>[marketsand...arkets.com]</w:t>
        </w:r>
      </w:hyperlink>
    </w:p>
    <w:p w14:paraId="12EBFA8A" w14:textId="77777777" w:rsidR="00971AFB" w:rsidRPr="00B44B50" w:rsidRDefault="00971AFB" w:rsidP="00971AFB">
      <w:r w:rsidRPr="00B44B50">
        <w:t>The core India regulatory gap is therefore not prohibition, but the absence of a detailed AI-model credibility framework comparable to the FDA draft. Sponsors targeting international commercialization will likely need to design governance and validation to FDA, EMA and ICH expectations even where Indian rules do not expressly require the same AI-specific documentation.</w:t>
      </w:r>
    </w:p>
    <w:p w14:paraId="01F7369C" w14:textId="77777777" w:rsidR="00971AFB" w:rsidRPr="00B44B50" w:rsidRDefault="00971AFB" w:rsidP="00971AFB">
      <w:pPr>
        <w:rPr>
          <w:b/>
          <w:bCs/>
        </w:rPr>
      </w:pPr>
      <w:r w:rsidRPr="00B44B50">
        <w:rPr>
          <w:b/>
          <w:bCs/>
        </w:rPr>
        <w:t>7. Risk Factors</w:t>
      </w:r>
    </w:p>
    <w:p w14:paraId="03F6B42D" w14:textId="77777777" w:rsidR="00971AFB" w:rsidRPr="00B44B50" w:rsidRDefault="00971AFB" w:rsidP="00971AFB">
      <w:pPr>
        <w:numPr>
          <w:ilvl w:val="0"/>
          <w:numId w:val="2"/>
        </w:numPr>
      </w:pPr>
      <w:r w:rsidRPr="00B44B50">
        <w:rPr>
          <w:b/>
          <w:bCs/>
        </w:rPr>
        <w:t>Clinical translation failure despite faster discovery.</w:t>
      </w:r>
      <w:r w:rsidRPr="00B44B50">
        <w:t xml:space="preserve"> AI may improve target ranking or molecule generation without improving human efficacy. An investor can therefore underwrite shorter preclinical timelines while still suffering the same Phase II and Phase III attrition as conventional biotechnology. Even the leading disclosed example, rentosertib, remained investigational when its Phase III trial began in September 2026. </w:t>
      </w:r>
      <w:hyperlink r:id="rId60" w:history="1">
        <w:r w:rsidRPr="00B44B50">
          <w:rPr>
            <w:rStyle w:val="Hyperlink"/>
          </w:rPr>
          <w:t>[insilico.com]</w:t>
        </w:r>
      </w:hyperlink>
    </w:p>
    <w:p w14:paraId="2A6AC9FD" w14:textId="77777777" w:rsidR="00971AFB" w:rsidRPr="00B44B50" w:rsidRDefault="00971AFB" w:rsidP="00971AFB">
      <w:pPr>
        <w:numPr>
          <w:ilvl w:val="0"/>
          <w:numId w:val="2"/>
        </w:numPr>
      </w:pPr>
      <w:r w:rsidRPr="00B44B50">
        <w:rPr>
          <w:b/>
          <w:bCs/>
        </w:rPr>
        <w:t>Milestone headline values may overstate economic scale.</w:t>
      </w:r>
      <w:r w:rsidRPr="00B44B50">
        <w:t xml:space="preserve"> Partnerships often advertise multibillion-dollar potential values, but only a small portion is paid upfront. In the Lilly-Insilico transaction, </w:t>
      </w:r>
      <w:r w:rsidRPr="00B44B50">
        <w:rPr>
          <w:b/>
          <w:bCs/>
        </w:rPr>
        <w:t>US$115 million was upfront</w:t>
      </w:r>
      <w:r w:rsidRPr="00B44B50">
        <w:t xml:space="preserve"> against up to </w:t>
      </w:r>
      <w:r w:rsidRPr="00B44B50">
        <w:rPr>
          <w:b/>
          <w:bCs/>
        </w:rPr>
        <w:t>US$2.63 billion in contingent milestones</w:t>
      </w:r>
      <w:r w:rsidRPr="00B44B50">
        <w:t xml:space="preserve">. If programs are discontinued, the majority of headline value may never be realized. </w:t>
      </w:r>
      <w:hyperlink r:id="rId61" w:history="1">
        <w:r w:rsidRPr="00B44B50">
          <w:rPr>
            <w:rStyle w:val="Hyperlink"/>
          </w:rPr>
          <w:t>[intuitionlabs.ai]</w:t>
        </w:r>
      </w:hyperlink>
    </w:p>
    <w:p w14:paraId="5DD3BCC0" w14:textId="77777777" w:rsidR="00971AFB" w:rsidRPr="00B44B50" w:rsidRDefault="00971AFB" w:rsidP="00971AFB">
      <w:pPr>
        <w:numPr>
          <w:ilvl w:val="0"/>
          <w:numId w:val="2"/>
        </w:numPr>
      </w:pPr>
      <w:r w:rsidRPr="00B44B50">
        <w:rPr>
          <w:b/>
          <w:bCs/>
        </w:rPr>
        <w:t>Weak model moat and rapid commoditization.</w:t>
      </w:r>
      <w:r w:rsidRPr="00B44B50">
        <w:t xml:space="preserve"> Open-source models, cloud infrastructure and foundation-model advances can erode the value of software-only platforms. Sustainable differentiation requires proprietary experimental data, wet-lab feedback, workflow integration, validated therapeutic assets or regulatory-grade data governance.</w:t>
      </w:r>
    </w:p>
    <w:p w14:paraId="1EFCF824" w14:textId="77777777" w:rsidR="00971AFB" w:rsidRPr="00B44B50" w:rsidRDefault="00971AFB" w:rsidP="00971AFB">
      <w:pPr>
        <w:numPr>
          <w:ilvl w:val="0"/>
          <w:numId w:val="2"/>
        </w:numPr>
      </w:pPr>
      <w:r w:rsidRPr="00B44B50">
        <w:rPr>
          <w:b/>
          <w:bCs/>
        </w:rPr>
        <w:t>Data-rights and reproducibility failure.</w:t>
      </w:r>
      <w:r w:rsidRPr="00B44B50">
        <w:t xml:space="preserve"> Models trained on externally sourced chemical, genomic, patient or assay data may face unclear usage rights, inconsistent annotations, population bias or irreproducible laboratory inputs. If a company cannot trace training data and model versions, pharmaceutical customers </w:t>
      </w:r>
      <w:r w:rsidRPr="00B44B50">
        <w:lastRenderedPageBreak/>
        <w:t xml:space="preserve">may exclude outputs from regulated development decisions under the FDA’s context-of-use credibility approach. </w:t>
      </w:r>
      <w:hyperlink r:id="rId62" w:history="1">
        <w:r w:rsidRPr="00B44B50">
          <w:rPr>
            <w:rStyle w:val="Hyperlink"/>
          </w:rPr>
          <w:t>[fda.gov]</w:t>
        </w:r>
      </w:hyperlink>
      <w:r w:rsidRPr="00B44B50">
        <w:t xml:space="preserve">, </w:t>
      </w:r>
      <w:hyperlink r:id="rId63" w:history="1">
        <w:r w:rsidRPr="00B44B50">
          <w:rPr>
            <w:rStyle w:val="Hyperlink"/>
          </w:rPr>
          <w:t>[fda.gov]</w:t>
        </w:r>
      </w:hyperlink>
    </w:p>
    <w:p w14:paraId="69C84BE7" w14:textId="77777777" w:rsidR="00971AFB" w:rsidRPr="00B44B50" w:rsidRDefault="00971AFB" w:rsidP="00971AFB">
      <w:pPr>
        <w:numPr>
          <w:ilvl w:val="0"/>
          <w:numId w:val="2"/>
        </w:numPr>
      </w:pPr>
      <w:r w:rsidRPr="00B44B50">
        <w:rPr>
          <w:b/>
          <w:bCs/>
        </w:rPr>
        <w:t>Capital-intensity mismatch with PE return requirements.</w:t>
      </w:r>
      <w:r w:rsidRPr="00B44B50">
        <w:t xml:space="preserve"> Vertically integrated AI-biotech companies combine software development, wet-lab infrastructure and therapeutic clinical trials. They can remain cash-flow negative for extended periods and require repeated equity financing. Schrödinger, despite </w:t>
      </w:r>
      <w:r w:rsidRPr="00B44B50">
        <w:rPr>
          <w:b/>
          <w:bCs/>
        </w:rPr>
        <w:t>US$255.9 million of 2025 revenue</w:t>
      </w:r>
      <w:r w:rsidRPr="00B44B50">
        <w:t xml:space="preserve">, reported a </w:t>
      </w:r>
      <w:r w:rsidRPr="00B44B50">
        <w:rPr>
          <w:b/>
          <w:bCs/>
        </w:rPr>
        <w:t>US$103.3 million net loss</w:t>
      </w:r>
      <w:r w:rsidRPr="00B44B50">
        <w:t xml:space="preserve"> for the year. This makes leverage-based underwriting risky unless revenue is recurring and substantially independent of milestone receipts. </w:t>
      </w:r>
      <w:hyperlink r:id="rId64" w:history="1">
        <w:r w:rsidRPr="00B44B50">
          <w:rPr>
            <w:rStyle w:val="Hyperlink"/>
          </w:rPr>
          <w:t>[ir.schrodinger.com]</w:t>
        </w:r>
      </w:hyperlink>
    </w:p>
    <w:p w14:paraId="4414BA0E" w14:textId="77777777" w:rsidR="00971AFB" w:rsidRPr="00B44B50" w:rsidRDefault="00971AFB" w:rsidP="00971AFB">
      <w:pPr>
        <w:rPr>
          <w:b/>
          <w:bCs/>
        </w:rPr>
      </w:pPr>
      <w:r w:rsidRPr="00B44B50">
        <w:rPr>
          <w:b/>
          <w:bCs/>
        </w:rPr>
        <w:t>8. PE Attractiveness Verdict</w:t>
      </w:r>
    </w:p>
    <w:p w14:paraId="6A327C75" w14:textId="77777777" w:rsidR="00971AFB" w:rsidRPr="00B44B50" w:rsidRDefault="00971AFB" w:rsidP="00971AFB">
      <w:r w:rsidRPr="00B44B50">
        <w:rPr>
          <w:b/>
          <w:bCs/>
        </w:rPr>
        <w:t>Selective.</w:t>
      </w:r>
      <w:r w:rsidRPr="00B44B50">
        <w:t xml:space="preserve"> AI in drug discovery has crossed the threshold from pilot-only experimentation to scaled pharmaceutical workflows, regulatory submissions and genuine late-stage clinical programs, but it has not yet demonstrated repeatable approval-level superiority over conventional discovery. The most attractive PE targets are not binary-risk “AI drug companies”; they are workflow-embedded R&amp;D software, biosimulation, laboratory-data infrastructure, specialist AI-enabled CRO services and platforms with recurring revenue, high switching costs and auditable regulatory-grade data. The Dotmatics and Certara precedents show credible PE value creation through consolidation, cloud migration, international expansion and strategic exit. Pure-play therapeutic platforms are better suited to venture, growth equity or structured milestone financing unless they already possess validated clinical assets, diversified pharma partnerships and sufficient capital to absorb trial failure. </w:t>
      </w:r>
      <w:hyperlink r:id="rId65" w:history="1">
        <w:r w:rsidRPr="00B44B50">
          <w:rPr>
            <w:rStyle w:val="Hyperlink"/>
          </w:rPr>
          <w:t>[dotmatics.com]</w:t>
        </w:r>
      </w:hyperlink>
      <w:r w:rsidRPr="00B44B50">
        <w:t xml:space="preserve">, </w:t>
      </w:r>
      <w:hyperlink r:id="rId66" w:history="1">
        <w:r w:rsidRPr="00B44B50">
          <w:rPr>
            <w:rStyle w:val="Hyperlink"/>
          </w:rPr>
          <w:t>[eqtgroup.com]</w:t>
        </w:r>
      </w:hyperlink>
      <w:r w:rsidRPr="00B44B50">
        <w:t xml:space="preserve">, </w:t>
      </w:r>
      <w:hyperlink r:id="rId67" w:history="1">
        <w:r w:rsidRPr="00B44B50">
          <w:rPr>
            <w:rStyle w:val="Hyperlink"/>
          </w:rPr>
          <w:t>[certara.com]</w:t>
        </w:r>
      </w:hyperlink>
    </w:p>
    <w:p w14:paraId="4845B9F2" w14:textId="77777777" w:rsidR="00AE71F0" w:rsidRDefault="00AE71F0"/>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3586"/>
    <w:multiLevelType w:val="multilevel"/>
    <w:tmpl w:val="368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700F6"/>
    <w:multiLevelType w:val="multilevel"/>
    <w:tmpl w:val="3910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961349">
    <w:abstractNumId w:val="0"/>
  </w:num>
  <w:num w:numId="2" w16cid:durableId="910650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FB"/>
    <w:rsid w:val="000B6152"/>
    <w:rsid w:val="00513609"/>
    <w:rsid w:val="00971AFB"/>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5759C"/>
  <w15:chartTrackingRefBased/>
  <w15:docId w15:val="{422F9313-6627-46DA-8551-6EEE8C9F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AFB"/>
  </w:style>
  <w:style w:type="paragraph" w:styleId="Heading1">
    <w:name w:val="heading 1"/>
    <w:basedOn w:val="Normal"/>
    <w:next w:val="Normal"/>
    <w:link w:val="Heading1Char"/>
    <w:uiPriority w:val="9"/>
    <w:qFormat/>
    <w:rsid w:val="0097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FB"/>
    <w:rPr>
      <w:rFonts w:eastAsiaTheme="majorEastAsia" w:cstheme="majorBidi"/>
      <w:color w:val="272727" w:themeColor="text1" w:themeTint="D8"/>
    </w:rPr>
  </w:style>
  <w:style w:type="paragraph" w:styleId="Title">
    <w:name w:val="Title"/>
    <w:basedOn w:val="Normal"/>
    <w:next w:val="Normal"/>
    <w:link w:val="TitleChar"/>
    <w:uiPriority w:val="10"/>
    <w:qFormat/>
    <w:rsid w:val="0097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FB"/>
    <w:pPr>
      <w:spacing w:before="160"/>
      <w:jc w:val="center"/>
    </w:pPr>
    <w:rPr>
      <w:i/>
      <w:iCs/>
      <w:color w:val="404040" w:themeColor="text1" w:themeTint="BF"/>
    </w:rPr>
  </w:style>
  <w:style w:type="character" w:customStyle="1" w:styleId="QuoteChar">
    <w:name w:val="Quote Char"/>
    <w:basedOn w:val="DefaultParagraphFont"/>
    <w:link w:val="Quote"/>
    <w:uiPriority w:val="29"/>
    <w:rsid w:val="00971AFB"/>
    <w:rPr>
      <w:i/>
      <w:iCs/>
      <w:color w:val="404040" w:themeColor="text1" w:themeTint="BF"/>
    </w:rPr>
  </w:style>
  <w:style w:type="paragraph" w:styleId="ListParagraph">
    <w:name w:val="List Paragraph"/>
    <w:basedOn w:val="Normal"/>
    <w:uiPriority w:val="34"/>
    <w:qFormat/>
    <w:rsid w:val="00971AFB"/>
    <w:pPr>
      <w:ind w:left="720"/>
      <w:contextualSpacing/>
    </w:pPr>
  </w:style>
  <w:style w:type="character" w:styleId="IntenseEmphasis">
    <w:name w:val="Intense Emphasis"/>
    <w:basedOn w:val="DefaultParagraphFont"/>
    <w:uiPriority w:val="21"/>
    <w:qFormat/>
    <w:rsid w:val="00971AFB"/>
    <w:rPr>
      <w:i/>
      <w:iCs/>
      <w:color w:val="0F4761" w:themeColor="accent1" w:themeShade="BF"/>
    </w:rPr>
  </w:style>
  <w:style w:type="paragraph" w:styleId="IntenseQuote">
    <w:name w:val="Intense Quote"/>
    <w:basedOn w:val="Normal"/>
    <w:next w:val="Normal"/>
    <w:link w:val="IntenseQuoteChar"/>
    <w:uiPriority w:val="30"/>
    <w:qFormat/>
    <w:rsid w:val="0097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FB"/>
    <w:rPr>
      <w:i/>
      <w:iCs/>
      <w:color w:val="0F4761" w:themeColor="accent1" w:themeShade="BF"/>
    </w:rPr>
  </w:style>
  <w:style w:type="character" w:styleId="IntenseReference">
    <w:name w:val="Intense Reference"/>
    <w:basedOn w:val="DefaultParagraphFont"/>
    <w:uiPriority w:val="32"/>
    <w:qFormat/>
    <w:rsid w:val="00971AFB"/>
    <w:rPr>
      <w:b/>
      <w:bCs/>
      <w:smallCaps/>
      <w:color w:val="0F4761" w:themeColor="accent1" w:themeShade="BF"/>
      <w:spacing w:val="5"/>
    </w:rPr>
  </w:style>
  <w:style w:type="character" w:styleId="Hyperlink">
    <w:name w:val="Hyperlink"/>
    <w:basedOn w:val="DefaultParagraphFont"/>
    <w:uiPriority w:val="99"/>
    <w:unhideWhenUsed/>
    <w:rsid w:val="00971A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silico.com/news" TargetMode="External"/><Relationship Id="rId21" Type="http://schemas.openxmlformats.org/officeDocument/2006/relationships/hyperlink" Target="https://ir.recursion.com/news-releases/news-release-details/recursion-and-exscientia-enter-definitive-agreement-create" TargetMode="External"/><Relationship Id="rId42" Type="http://schemas.openxmlformats.org/officeDocument/2006/relationships/hyperlink" Target="https://www.linkedin.com/posts/insight--partners_congratulations-to-insight-partners-portfolio-activity-7313269810988044289-gEnK" TargetMode="External"/><Relationship Id="rId47" Type="http://schemas.openxmlformats.org/officeDocument/2006/relationships/hyperlink" Target="https://www.certara.com/pressrelease/arsenal-capital-partners-increases-investment-in-global-biosimulation-leader-certara-with-449m-stock-purchase/" TargetMode="External"/><Relationship Id="rId63" Type="http://schemas.openxmlformats.org/officeDocument/2006/relationships/hyperlink" Target="https://www.fda.gov/news-events/press-announcements/fda-proposes-framework-advance-credibility-ai-models-used-drug-and-biological-product-submissions" TargetMode="External"/><Relationship Id="rId68" Type="http://schemas.openxmlformats.org/officeDocument/2006/relationships/fontTable" Target="fontTable.xml"/><Relationship Id="rId7" Type="http://schemas.openxmlformats.org/officeDocument/2006/relationships/hyperlink" Target="https://www.transpireinsight.com/report/united-states-artificial-intelligence-ai-in-drug-discovery-market" TargetMode="External"/><Relationship Id="rId2" Type="http://schemas.openxmlformats.org/officeDocument/2006/relationships/styles" Target="styles.xml"/><Relationship Id="rId16" Type="http://schemas.openxmlformats.org/officeDocument/2006/relationships/hyperlink" Target="https://intuitionlabs.ai/articles/fda-draft-guidance-ai-drug-development" TargetMode="External"/><Relationship Id="rId29" Type="http://schemas.openxmlformats.org/officeDocument/2006/relationships/hyperlink" Target="https://forgeglobal.com/insilico-medicine_ipo/" TargetMode="External"/><Relationship Id="rId11" Type="http://schemas.openxmlformats.org/officeDocument/2006/relationships/hyperlink" Target="https://www.mordorintelligence.com/industry-reports/artificial-intelligence-in-drug-discovery-market" TargetMode="External"/><Relationship Id="rId24" Type="http://schemas.openxmlformats.org/officeDocument/2006/relationships/hyperlink" Target="https://ir.schrodinger.com/press-releases/news-details/2026/Schrdinger-Reports-Fourth-Quarter-and-Full-Year-2025-Financial-Results/default.aspx" TargetMode="External"/><Relationship Id="rId32" Type="http://schemas.openxmlformats.org/officeDocument/2006/relationships/hyperlink" Target="https://www.isomorphiclabs.com/press/isomorphic-labs-funding" TargetMode="External"/><Relationship Id="rId37" Type="http://schemas.openxmlformats.org/officeDocument/2006/relationships/hyperlink" Target="https://pharmaphorum.com/news/ai-biotechs-exscientia-and-recursion-agree-688m-merger" TargetMode="External"/><Relationship Id="rId40" Type="http://schemas.openxmlformats.org/officeDocument/2006/relationships/hyperlink" Target="https://www.isomorphiclabs.com/press/isomorphic-labs-funding" TargetMode="External"/><Relationship Id="rId45" Type="http://schemas.openxmlformats.org/officeDocument/2006/relationships/hyperlink" Target="https://eqtgroup.com/news/eqt-vii-acquires-health-technology-company-certara-for-usd-850-million-2017-07-11" TargetMode="External"/><Relationship Id="rId53" Type="http://schemas.openxmlformats.org/officeDocument/2006/relationships/hyperlink" Target="https://intuitionlabs.ai/articles/fda-draft-guidance-ai-drug-development" TargetMode="External"/><Relationship Id="rId58" Type="http://schemas.openxmlformats.org/officeDocument/2006/relationships/hyperlink" Target="https://www.cdsco.gov.in/" TargetMode="External"/><Relationship Id="rId66" Type="http://schemas.openxmlformats.org/officeDocument/2006/relationships/hyperlink" Target="https://eqtgroup.com/news/eqt-vii-acquires-health-technology-company-certara-for-usd-850-million-2017-07-11" TargetMode="External"/><Relationship Id="rId5" Type="http://schemas.openxmlformats.org/officeDocument/2006/relationships/hyperlink" Target="https://www.marketsandmarkets.com/Market-Reports/ai-in-drug-discovery-market-151193446.html" TargetMode="External"/><Relationship Id="rId61" Type="http://schemas.openxmlformats.org/officeDocument/2006/relationships/hyperlink" Target="https://intuitionlabs.ai/articles/lilly-insilico-ai-drug-discovery-deal" TargetMode="External"/><Relationship Id="rId19" Type="http://schemas.openxmlformats.org/officeDocument/2006/relationships/hyperlink" Target="https://www.nasdaq.com/press-release/recursion-reports-fourth-quarter-and-full-year-2025-financial-results-and-provides" TargetMode="External"/><Relationship Id="rId14" Type="http://schemas.openxmlformats.org/officeDocument/2006/relationships/hyperlink" Target="https://www.grandviewresearch.com/industry-analysis/artificial-intelligence-drug-discovery-market" TargetMode="External"/><Relationship Id="rId22" Type="http://schemas.openxmlformats.org/officeDocument/2006/relationships/hyperlink" Target="https://www.nasdaq.com/press-release/recursion-reports-fourth-quarter-and-full-year-2025-financial-results-and-provides" TargetMode="External"/><Relationship Id="rId27" Type="http://schemas.openxmlformats.org/officeDocument/2006/relationships/hyperlink" Target="https://warburgpincus.com/2021/06/22/insilico-medicine-raises-255-million-in-series-c-financing-led-by-warburg-pincus/" TargetMode="External"/><Relationship Id="rId30" Type="http://schemas.openxmlformats.org/officeDocument/2006/relationships/hyperlink" Target="https://www.isomorphiclabs.com/press/isomorphic-labs-funding" TargetMode="External"/><Relationship Id="rId35" Type="http://schemas.openxmlformats.org/officeDocument/2006/relationships/hyperlink" Target="https://eqtgroup.com/news/eqt-vii-acquires-health-technology-company-certara-for-usd-850-million-2017-07-11" TargetMode="External"/><Relationship Id="rId43" Type="http://schemas.openxmlformats.org/officeDocument/2006/relationships/hyperlink" Target="https://www.dotmatics.com/news/insightful-science-joins-forces-with-dotmatics-to-form-a-leading-cloud-first" TargetMode="External"/><Relationship Id="rId48" Type="http://schemas.openxmlformats.org/officeDocument/2006/relationships/hyperlink" Target="https://www.blackstone.com/news/press/dnanexus-secures-200-million-funding-led-by-blackstone-growth-to-advance-its-biomedical-data-driven-technology-platform-for-precision-medicine/" TargetMode="External"/><Relationship Id="rId56" Type="http://schemas.openxmlformats.org/officeDocument/2006/relationships/hyperlink" Target="http://www.cdscoonline.gov.in/CDSCO/homepage" TargetMode="External"/><Relationship Id="rId64" Type="http://schemas.openxmlformats.org/officeDocument/2006/relationships/hyperlink" Target="https://ir.schrodinger.com/press-releases/news-details/2026/Schrdinger-Reports-Fourth-Quarter-and-Full-Year-2025-Financial-Results/default.aspx" TargetMode="External"/><Relationship Id="rId69" Type="http://schemas.openxmlformats.org/officeDocument/2006/relationships/theme" Target="theme/theme1.xml"/><Relationship Id="rId8" Type="http://schemas.openxmlformats.org/officeDocument/2006/relationships/hyperlink" Target="https://www.emergenresearch.com/industry-report/us-intelligent-drug-discovery-market" TargetMode="External"/><Relationship Id="rId51" Type="http://schemas.openxmlformats.org/officeDocument/2006/relationships/hyperlink" Target="https://www.fda.gov/about-fda/center-drug-evaluation-and-research-cder/artificial-intelligence-drug-development" TargetMode="External"/><Relationship Id="rId3" Type="http://schemas.openxmlformats.org/officeDocument/2006/relationships/settings" Target="settings.xml"/><Relationship Id="rId12" Type="http://schemas.openxmlformats.org/officeDocument/2006/relationships/hyperlink" Target="https://www.grandviewresearch.com/horizon/outlook/artificial-intelligence-in-drug-discovery-market/india" TargetMode="External"/><Relationship Id="rId17" Type="http://schemas.openxmlformats.org/officeDocument/2006/relationships/hyperlink" Target="https://www.fda.gov/about-fda/center-drug-evaluation-and-research-cder/artificial-intelligence-drug-development" TargetMode="External"/><Relationship Id="rId25" Type="http://schemas.openxmlformats.org/officeDocument/2006/relationships/hyperlink" Target="https://warburgpincus.com/2021/06/22/insilico-medicine-raises-255-million-in-series-c-financing-led-by-warburg-pincus/" TargetMode="External"/><Relationship Id="rId33" Type="http://schemas.openxmlformats.org/officeDocument/2006/relationships/hyperlink" Target="https://peptris.com/" TargetMode="External"/><Relationship Id="rId38" Type="http://schemas.openxmlformats.org/officeDocument/2006/relationships/hyperlink" Target="https://www.gminsights.com/industry-analysis/ai-in-drug-discovery-market" TargetMode="External"/><Relationship Id="rId46" Type="http://schemas.openxmlformats.org/officeDocument/2006/relationships/hyperlink" Target="https://www.certara.com/pressrelease/arsenal-capital-partners-increases-investment-in-global-biosimulation-leader-certara-with-449m-stock-purchase/" TargetMode="External"/><Relationship Id="rId59" Type="http://schemas.openxmlformats.org/officeDocument/2006/relationships/hyperlink" Target="https://www.marketsandmarkets.com/PressReleases/ai-in-drug-discovery.asp" TargetMode="External"/><Relationship Id="rId67" Type="http://schemas.openxmlformats.org/officeDocument/2006/relationships/hyperlink" Target="https://www.certara.com/pressrelease/arsenal-capital-partners-increases-investment-in-global-biosimulation-leader-certara-with-449m-stock-purchase/" TargetMode="External"/><Relationship Id="rId20" Type="http://schemas.openxmlformats.org/officeDocument/2006/relationships/hyperlink" Target="https://ir.recursion.com/news-releases/news-release-details/recursion-and-exscientia-enter-definitive-agreement-create" TargetMode="External"/><Relationship Id="rId41" Type="http://schemas.openxmlformats.org/officeDocument/2006/relationships/hyperlink" Target="https://warburgpincus.com/2021/06/22/insilico-medicine-raises-255-million-in-series-c-financing-led-by-warburg-pincus/" TargetMode="External"/><Relationship Id="rId54" Type="http://schemas.openxmlformats.org/officeDocument/2006/relationships/hyperlink" Target="https://www.drugdiscoverynews.com/regulating-ai-in-drug-discovery-what-fda-ema-and-ich-guidance-means-for-pharma-r-d-17366" TargetMode="External"/><Relationship Id="rId62" Type="http://schemas.openxmlformats.org/officeDocument/2006/relationships/hyperlink" Target="https://www.fda.gov/regulatory-information/search-fda-guidance-documents/considerations-use-artificial-intelligence-support-regulatory-decision-making-drug-and-biological" TargetMode="External"/><Relationship Id="rId1" Type="http://schemas.openxmlformats.org/officeDocument/2006/relationships/numbering" Target="numbering.xml"/><Relationship Id="rId6" Type="http://schemas.openxmlformats.org/officeDocument/2006/relationships/hyperlink" Target="https://www.mordorintelligence.com/industry-reports/artificial-intelligence-in-drug-discovery-market" TargetMode="External"/><Relationship Id="rId15" Type="http://schemas.openxmlformats.org/officeDocument/2006/relationships/hyperlink" Target="https://www.fda.gov/regulatory-information/search-fda-guidance-documents/considerations-use-artificial-intelligence-support-regulatory-decision-making-drug-and-biological" TargetMode="External"/><Relationship Id="rId23" Type="http://schemas.openxmlformats.org/officeDocument/2006/relationships/hyperlink" Target="https://pharmaphorum.com/news/ai-biotechs-exscientia-and-recursion-agree-688m-merger" TargetMode="External"/><Relationship Id="rId28" Type="http://schemas.openxmlformats.org/officeDocument/2006/relationships/hyperlink" Target="https://intuitionlabs.ai/articles/lilly-insilico-ai-drug-discovery-deal" TargetMode="External"/><Relationship Id="rId36" Type="http://schemas.openxmlformats.org/officeDocument/2006/relationships/hyperlink" Target="https://www.certara.com/pressrelease/arsenal-capital-partners-increases-investment-in-global-biosimulation-leader-certara-with-449m-stock-purchase/" TargetMode="External"/><Relationship Id="rId49" Type="http://schemas.openxmlformats.org/officeDocument/2006/relationships/hyperlink" Target="https://www.fda.gov/regulatory-information/search-fda-guidance-documents/considerations-use-artificial-intelligence-support-regulatory-decision-making-drug-and-biological" TargetMode="External"/><Relationship Id="rId57" Type="http://schemas.openxmlformats.org/officeDocument/2006/relationships/hyperlink" Target="https://www.cdsco.gov.in/" TargetMode="External"/><Relationship Id="rId10" Type="http://schemas.openxmlformats.org/officeDocument/2006/relationships/hyperlink" Target="https://www.towardshealthcare.com/outlook/india-ai-in-drug-discovery-market" TargetMode="External"/><Relationship Id="rId31" Type="http://schemas.openxmlformats.org/officeDocument/2006/relationships/hyperlink" Target="https://www.isomorphiclabs.com/press/isomorphic-labs-funding" TargetMode="External"/><Relationship Id="rId44" Type="http://schemas.openxmlformats.org/officeDocument/2006/relationships/hyperlink" Target="https://www.dotmatics.com/news/dotmatics-acquired-by-siemens-ai-life-sciences" TargetMode="External"/><Relationship Id="rId52" Type="http://schemas.openxmlformats.org/officeDocument/2006/relationships/hyperlink" Target="https://www.fda.gov/regulatory-information/search-fda-guidance-documents/considerations-use-artificial-intelligence-support-regulatory-decision-making-drug-and-biological" TargetMode="External"/><Relationship Id="rId60" Type="http://schemas.openxmlformats.org/officeDocument/2006/relationships/hyperlink" Target="https://insilico.com/news" TargetMode="External"/><Relationship Id="rId65" Type="http://schemas.openxmlformats.org/officeDocument/2006/relationships/hyperlink" Target="https://www.dotmatics.com/news/dotmatics-acquired-by-siemens-ai-life-sciences" TargetMode="External"/><Relationship Id="rId4" Type="http://schemas.openxmlformats.org/officeDocument/2006/relationships/webSettings" Target="webSettings.xml"/><Relationship Id="rId9" Type="http://schemas.openxmlformats.org/officeDocument/2006/relationships/hyperlink" Target="https://www.grandviewresearch.com/horizon/outlook/artificial-intelligence-in-drug-discovery-market/india" TargetMode="External"/><Relationship Id="rId13" Type="http://schemas.openxmlformats.org/officeDocument/2006/relationships/hyperlink" Target="https://www.marketsandmarkets.com/Market-Reports/ai-in-drug-discovery-market-151193446.html" TargetMode="External"/><Relationship Id="rId18" Type="http://schemas.openxmlformats.org/officeDocument/2006/relationships/hyperlink" Target="https://insilico.com/news" TargetMode="External"/><Relationship Id="rId39" Type="http://schemas.openxmlformats.org/officeDocument/2006/relationships/hyperlink" Target="https://intuitionlabs.ai/articles/lilly-insilico-ai-drug-discovery-deal" TargetMode="External"/><Relationship Id="rId34" Type="http://schemas.openxmlformats.org/officeDocument/2006/relationships/hyperlink" Target="https://india.entrepreneur.com/news-and-trends/peptris-raises-inr-70-cr-series-a-to-advance-ai-led-drug/502792" TargetMode="External"/><Relationship Id="rId50" Type="http://schemas.openxmlformats.org/officeDocument/2006/relationships/hyperlink" Target="https://www.fda.gov/news-events/press-announcements/fda-proposes-framework-advance-credibility-ai-models-used-drug-and-biological-product-submissions" TargetMode="External"/><Relationship Id="rId55" Type="http://schemas.openxmlformats.org/officeDocument/2006/relationships/hyperlink" Target="http://www.cdscoonline.gov.in/CDSCO/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6033</Words>
  <Characters>28116</Characters>
  <Application>Microsoft Office Word</Application>
  <DocSecurity>0</DocSecurity>
  <Lines>1874</Lines>
  <Paragraphs>1797</Paragraphs>
  <ScaleCrop>false</ScaleCrop>
  <Company/>
  <LinksUpToDate>false</LinksUpToDate>
  <CharactersWithSpaces>32352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2026-09-16T08:53:00Z</dcterms:created>
  <dcterms:modified xsi:type="dcterms:W3CDTF">2026-09-16T08:53:00Z</dcterms:modified>
</cp:coreProperties>
</file>