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F351" w14:textId="77777777" w:rsidR="00DC26B8" w:rsidRDefault="00DC26B8" w:rsidP="00DC26B8">
      <w:pPr>
        <w:rPr>
          <w:b/>
          <w:bCs/>
        </w:rPr>
      </w:pPr>
      <w:r>
        <w:rPr>
          <w:b/>
          <w:bCs/>
        </w:rPr>
        <w:t>INSURANCE &amp; PRIOR AUTH</w:t>
      </w:r>
    </w:p>
    <w:p w14:paraId="37692E4C" w14:textId="0A140D82" w:rsidR="00DC26B8" w:rsidRPr="00DC26B8" w:rsidRDefault="00DC26B8" w:rsidP="00DC26B8">
      <w:pPr>
        <w:rPr>
          <w:b/>
          <w:bCs/>
        </w:rPr>
      </w:pPr>
      <w:r w:rsidRPr="00DC26B8">
        <w:rPr>
          <w:b/>
          <w:bCs/>
        </w:rPr>
        <w:t>1. Outlook</w:t>
      </w:r>
    </w:p>
    <w:p w14:paraId="5921D972" w14:textId="77777777" w:rsidR="00DC26B8" w:rsidRPr="00DC26B8" w:rsidRDefault="00DC26B8" w:rsidP="00DC26B8">
      <w:r w:rsidRPr="00DC26B8">
        <w:rPr>
          <w:b/>
          <w:bCs/>
        </w:rPr>
        <w:t>Scope definition.</w:t>
      </w:r>
      <w:r w:rsidRPr="00DC26B8">
        <w:t xml:space="preserve"> This analysis covers AI-enabled software and services that automate insurance eligibility checking, medical-necessity matching, prior-authorization submission, payer adjudication, status tracking, appeals, fraud detection and adjacent claims workflows. It excludes AI used primarily for underwriting, pricing, distribution or clinical diagnosis. The enterprise search returned </w:t>
      </w:r>
      <w:r w:rsidRPr="00DC26B8">
        <w:rPr>
          <w:b/>
          <w:bCs/>
        </w:rPr>
        <w:t>67 file/external-domain results, several emails and seven meetings</w:t>
      </w:r>
      <w:r w:rsidRPr="00DC26B8">
        <w:t>, but none contained decision-grade market sizing for this specific sub-sector; therefore, the market figures below use external published sources.</w:t>
      </w:r>
    </w:p>
    <w:p w14:paraId="029FE154" w14:textId="77777777" w:rsidR="00DC26B8" w:rsidRPr="00DC26B8" w:rsidRDefault="00DC26B8" w:rsidP="00DC26B8">
      <w:pPr>
        <w:rPr>
          <w:b/>
          <w:bCs/>
        </w:rPr>
      </w:pPr>
      <w:r w:rsidRPr="00DC26B8">
        <w:rPr>
          <w:b/>
          <w:bCs/>
        </w:rPr>
        <w:t>Market size and CAGR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623"/>
        <w:gridCol w:w="1440"/>
        <w:gridCol w:w="1715"/>
        <w:gridCol w:w="3252"/>
      </w:tblGrid>
      <w:tr w:rsidR="00DC26B8" w:rsidRPr="00DC26B8" w14:paraId="7E9E83C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94111B" w14:textId="77777777" w:rsidR="00DC26B8" w:rsidRPr="00DC26B8" w:rsidRDefault="00DC26B8" w:rsidP="00DC26B8">
            <w:pPr>
              <w:rPr>
                <w:b/>
                <w:bCs/>
              </w:rPr>
            </w:pPr>
            <w:r w:rsidRPr="00DC26B8">
              <w:rPr>
                <w:b/>
                <w:bCs/>
              </w:rPr>
              <w:t>Geography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611E7D" w14:textId="77777777" w:rsidR="00DC26B8" w:rsidRPr="00DC26B8" w:rsidRDefault="00DC26B8" w:rsidP="00DC26B8">
            <w:pPr>
              <w:rPr>
                <w:b/>
                <w:bCs/>
              </w:rPr>
            </w:pPr>
            <w:r w:rsidRPr="00DC26B8">
              <w:rPr>
                <w:b/>
                <w:bCs/>
              </w:rPr>
              <w:t>Current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DB7E8D" w14:textId="77777777" w:rsidR="00DC26B8" w:rsidRPr="00DC26B8" w:rsidRDefault="00DC26B8" w:rsidP="00DC26B8">
            <w:pPr>
              <w:rPr>
                <w:b/>
                <w:bCs/>
              </w:rPr>
            </w:pPr>
            <w:r w:rsidRPr="00DC26B8">
              <w:rPr>
                <w:b/>
                <w:bCs/>
              </w:rPr>
              <w:t>Forecast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92923B" w14:textId="77777777" w:rsidR="00DC26B8" w:rsidRPr="00DC26B8" w:rsidRDefault="00DC26B8" w:rsidP="00DC26B8">
            <w:pPr>
              <w:rPr>
                <w:b/>
                <w:bCs/>
              </w:rPr>
            </w:pPr>
            <w:r w:rsidRPr="00DC26B8">
              <w:rPr>
                <w:b/>
                <w:bCs/>
              </w:rPr>
              <w:t>CAGR / forecast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00C550" w14:textId="77777777" w:rsidR="00DC26B8" w:rsidRPr="00DC26B8" w:rsidRDefault="00DC26B8" w:rsidP="00DC26B8">
            <w:pPr>
              <w:rPr>
                <w:b/>
                <w:bCs/>
              </w:rPr>
            </w:pPr>
            <w:r w:rsidRPr="00DC26B8">
              <w:rPr>
                <w:b/>
                <w:bCs/>
              </w:rPr>
              <w:t>Definition and confidence</w:t>
            </w:r>
          </w:p>
        </w:tc>
      </w:tr>
      <w:tr w:rsidR="00DC26B8" w:rsidRPr="00DC26B8" w14:paraId="527505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22A8F" w14:textId="77777777" w:rsidR="00DC26B8" w:rsidRPr="00DC26B8" w:rsidRDefault="00DC26B8" w:rsidP="00DC26B8">
            <w:r w:rsidRPr="00DC26B8">
              <w:rPr>
                <w:b/>
                <w:bCs/>
              </w:rPr>
              <w:t>Global, primary estimate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76B84" w14:textId="77777777" w:rsidR="00DC26B8" w:rsidRPr="00DC26B8" w:rsidRDefault="00DC26B8" w:rsidP="00DC26B8">
            <w:r w:rsidRPr="00DC26B8">
              <w:rPr>
                <w:b/>
                <w:bCs/>
              </w:rPr>
              <w:t>US$1.74bn in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04904D" w14:textId="77777777" w:rsidR="00DC26B8" w:rsidRPr="00DC26B8" w:rsidRDefault="00DC26B8" w:rsidP="00DC26B8">
            <w:r w:rsidRPr="00DC26B8">
              <w:rPr>
                <w:b/>
                <w:bCs/>
              </w:rPr>
              <w:t>US$4.21bn in 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20C2CC" w14:textId="77777777" w:rsidR="00DC26B8" w:rsidRPr="00DC26B8" w:rsidRDefault="00DC26B8" w:rsidP="00DC26B8">
            <w:r w:rsidRPr="00DC26B8">
              <w:rPr>
                <w:b/>
                <w:bCs/>
              </w:rPr>
              <w:t>19.38%, 2026–2031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DDEA5E" w14:textId="77777777" w:rsidR="00DC26B8" w:rsidRPr="00DC26B8" w:rsidRDefault="00DC26B8" w:rsidP="00DC26B8">
            <w:r w:rsidRPr="00DC26B8">
              <w:t xml:space="preserve">Mordor Intelligence defines the market as AI-based prior-authorization software platforms and services used by payers, providers and related healthcare entities. </w:t>
            </w:r>
            <w:r w:rsidRPr="00DC26B8">
              <w:rPr>
                <w:b/>
                <w:bCs/>
              </w:rPr>
              <w:t>Medium confidence:</w:t>
            </w:r>
            <w:r w:rsidRPr="00DC26B8">
              <w:t xml:space="preserve"> the scope is directly relevant, but the underlying model and vendor-revenue build are paywalled. </w:t>
            </w:r>
            <w:hyperlink r:id="rId5" w:history="1">
              <w:r w:rsidRPr="00DC26B8">
                <w:rPr>
                  <w:rStyle w:val="Hyperlink"/>
                </w:rPr>
                <w:t>[mordorinte...igence.com]</w:t>
              </w:r>
            </w:hyperlink>
          </w:p>
        </w:tc>
      </w:tr>
      <w:tr w:rsidR="00DC26B8" w:rsidRPr="00DC26B8" w14:paraId="659D24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59E74A" w14:textId="77777777" w:rsidR="00DC26B8" w:rsidRPr="00DC26B8" w:rsidRDefault="00DC26B8" w:rsidP="00DC26B8">
            <w:r w:rsidRPr="00DC26B8">
              <w:rPr>
                <w:b/>
                <w:bCs/>
              </w:rPr>
              <w:t>Global, alternative estimate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0AED2F" w14:textId="77777777" w:rsidR="00DC26B8" w:rsidRPr="00DC26B8" w:rsidRDefault="00DC26B8" w:rsidP="00DC26B8">
            <w:r w:rsidRPr="00DC26B8">
              <w:rPr>
                <w:b/>
                <w:bCs/>
              </w:rPr>
              <w:t>US$950.6m in 2026</w:t>
            </w:r>
            <w:r w:rsidRPr="00DC26B8">
              <w:t xml:space="preserve">, following </w:t>
            </w:r>
            <w:r w:rsidRPr="00DC26B8">
              <w:rPr>
                <w:b/>
                <w:bCs/>
              </w:rPr>
              <w:t>US$721.9m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9DBBF" w14:textId="77777777" w:rsidR="00DC26B8" w:rsidRPr="00DC26B8" w:rsidRDefault="00DC26B8" w:rsidP="00DC26B8">
            <w:r w:rsidRPr="00DC26B8">
              <w:rPr>
                <w:b/>
                <w:bCs/>
              </w:rPr>
              <w:t>US$8.60bn in 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B006A7" w14:textId="77777777" w:rsidR="00DC26B8" w:rsidRPr="00DC26B8" w:rsidRDefault="00DC26B8" w:rsidP="00DC26B8">
            <w:r w:rsidRPr="00DC26B8">
              <w:rPr>
                <w:b/>
                <w:bCs/>
              </w:rPr>
              <w:t>31.69%, 2026–2034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FC0D75" w14:textId="77777777" w:rsidR="00DC26B8" w:rsidRPr="00DC26B8" w:rsidRDefault="00DC26B8" w:rsidP="00DC26B8">
            <w:r w:rsidRPr="00DC26B8">
              <w:t xml:space="preserve">Fortune Business Insights uses a narrower “AI-based prior authorization automation” definition but includes platforms and services across providers, payers, pharmacies, PBMs and RCM vendors. The wide </w:t>
            </w:r>
            <w:r w:rsidRPr="00DC26B8">
              <w:lastRenderedPageBreak/>
              <w:t xml:space="preserve">divergence from Mordor indicates substantial boundary and methodology risk. </w:t>
            </w:r>
            <w:hyperlink r:id="rId6" w:history="1">
              <w:r w:rsidRPr="00DC26B8">
                <w:rPr>
                  <w:rStyle w:val="Hyperlink"/>
                </w:rPr>
                <w:t>[fortunebus...sights.com]</w:t>
              </w:r>
            </w:hyperlink>
          </w:p>
        </w:tc>
      </w:tr>
      <w:tr w:rsidR="00DC26B8" w:rsidRPr="00DC26B8" w14:paraId="2C3C07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962079" w14:textId="77777777" w:rsidR="00DC26B8" w:rsidRPr="00DC26B8" w:rsidRDefault="00DC26B8" w:rsidP="00DC26B8">
            <w:r w:rsidRPr="00DC26B8">
              <w:rPr>
                <w:b/>
                <w:bCs/>
              </w:rPr>
              <w:lastRenderedPageBreak/>
              <w:t>Global, broader alternative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8B14E" w14:textId="77777777" w:rsidR="00DC26B8" w:rsidRPr="00DC26B8" w:rsidRDefault="00DC26B8" w:rsidP="00DC26B8">
            <w:r w:rsidRPr="00DC26B8">
              <w:rPr>
                <w:b/>
                <w:bCs/>
              </w:rPr>
              <w:t>US$2.10bn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6ADAA" w14:textId="77777777" w:rsidR="00DC26B8" w:rsidRPr="00DC26B8" w:rsidRDefault="00DC26B8" w:rsidP="00DC26B8">
            <w:r w:rsidRPr="00DC26B8">
              <w:rPr>
                <w:b/>
                <w:bCs/>
              </w:rPr>
              <w:t>US$9.80bn in 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2132AA" w14:textId="77777777" w:rsidR="00DC26B8" w:rsidRPr="00DC26B8" w:rsidRDefault="00DC26B8" w:rsidP="00DC26B8">
            <w:r w:rsidRPr="00DC26B8">
              <w:rPr>
                <w:b/>
                <w:bCs/>
              </w:rPr>
              <w:t>18.6%, 2026–2034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A190C8" w14:textId="77777777" w:rsidR="00DC26B8" w:rsidRPr="00DC26B8" w:rsidRDefault="00DC26B8" w:rsidP="00DC26B8">
            <w:r w:rsidRPr="00DC26B8">
              <w:t xml:space="preserve">DataIntelo includes hardware, medical claims management, insurance verification, workflow automation and patient eligibility, making it broader than a pure prior-authorization market. </w:t>
            </w:r>
            <w:r w:rsidRPr="00DC26B8">
              <w:rPr>
                <w:b/>
                <w:bCs/>
              </w:rPr>
              <w:t>Low-to-medium confidence:</w:t>
            </w:r>
            <w:r w:rsidRPr="00DC26B8">
              <w:t xml:space="preserve"> use only as a sensitivity case. </w:t>
            </w:r>
            <w:hyperlink r:id="rId7" w:history="1">
              <w:r w:rsidRPr="00DC26B8">
                <w:rPr>
                  <w:rStyle w:val="Hyperlink"/>
                </w:rPr>
                <w:t>[dataintelo.com]</w:t>
              </w:r>
            </w:hyperlink>
          </w:p>
        </w:tc>
      </w:tr>
      <w:tr w:rsidR="00DC26B8" w:rsidRPr="00DC26B8" w14:paraId="6B6508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B0304" w14:textId="77777777" w:rsidR="00DC26B8" w:rsidRPr="00DC26B8" w:rsidRDefault="00DC26B8" w:rsidP="00DC26B8">
            <w:r w:rsidRPr="00DC26B8">
              <w:rPr>
                <w:b/>
                <w:bCs/>
              </w:rPr>
              <w: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F6B7E" w14:textId="77777777" w:rsidR="00DC26B8" w:rsidRPr="00DC26B8" w:rsidRDefault="00DC26B8" w:rsidP="00DC26B8">
            <w:r w:rsidRPr="00DC26B8">
              <w:rPr>
                <w:b/>
                <w:bCs/>
              </w:rPr>
              <w:t>No reliable, publicly disclosed US-only AI-prior-authorization value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BC612" w14:textId="77777777" w:rsidR="00DC26B8" w:rsidRPr="00DC26B8" w:rsidRDefault="00DC26B8" w:rsidP="00DC26B8">
            <w:r w:rsidRPr="00DC26B8">
              <w:rPr>
                <w:b/>
                <w:bCs/>
              </w:rPr>
              <w:t>No reliable five-year US-only forecast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A7FC5" w14:textId="77777777" w:rsidR="00DC26B8" w:rsidRPr="00DC26B8" w:rsidRDefault="00DC26B8" w:rsidP="00DC26B8">
            <w:r w:rsidRPr="00DC26B8">
              <w:rPr>
                <w:b/>
                <w:bCs/>
              </w:rPr>
              <w:t>Not publicly available on a like-for-like basis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4A399" w14:textId="77777777" w:rsidR="00DC26B8" w:rsidRPr="00DC26B8" w:rsidRDefault="00DC26B8" w:rsidP="00DC26B8">
            <w:r w:rsidRPr="00DC26B8">
              <w:t xml:space="preserve">Published reports generally aggregate the US into North America. The closest disclosed proxy is North America’s </w:t>
            </w:r>
            <w:r w:rsidRPr="00DC26B8">
              <w:rPr>
                <w:b/>
                <w:bCs/>
              </w:rPr>
              <w:t>42.7% share of the US$2.10bn global market in 2025</w:t>
            </w:r>
            <w:r w:rsidRPr="00DC26B8">
              <w:t xml:space="preserve">, equivalent to approximately </w:t>
            </w:r>
            <w:r w:rsidRPr="00DC26B8">
              <w:rPr>
                <w:b/>
                <w:bCs/>
              </w:rPr>
              <w:t>US$897m for North America</w:t>
            </w:r>
            <w:r w:rsidRPr="00DC26B8">
              <w:t xml:space="preserve">, not the US alone. This calculated proxy must not be presented as a US market estimate. </w:t>
            </w:r>
            <w:hyperlink r:id="rId8" w:history="1">
              <w:r w:rsidRPr="00DC26B8">
                <w:rPr>
                  <w:rStyle w:val="Hyperlink"/>
                </w:rPr>
                <w:t>[dataintelo.com]</w:t>
              </w:r>
            </w:hyperlink>
          </w:p>
        </w:tc>
      </w:tr>
      <w:tr w:rsidR="00DC26B8" w:rsidRPr="00DC26B8" w14:paraId="3EB047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FCB5EA" w14:textId="77777777" w:rsidR="00DC26B8" w:rsidRPr="00DC26B8" w:rsidRDefault="00DC26B8" w:rsidP="00DC26B8">
            <w:r w:rsidRPr="00DC26B8">
              <w:rPr>
                <w:b/>
                <w:bCs/>
              </w:rPr>
              <w:t>India, AI-prior-auth specific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B8530" w14:textId="77777777" w:rsidR="00DC26B8" w:rsidRPr="00DC26B8" w:rsidRDefault="00DC26B8" w:rsidP="00DC26B8">
            <w:r w:rsidRPr="00DC26B8">
              <w:rPr>
                <w:b/>
                <w:bCs/>
              </w:rPr>
              <w:t>No credible standalone value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1383D" w14:textId="77777777" w:rsidR="00DC26B8" w:rsidRPr="00DC26B8" w:rsidRDefault="00DC26B8" w:rsidP="00DC26B8">
            <w:r w:rsidRPr="00DC26B8">
              <w:rPr>
                <w:b/>
                <w:bCs/>
              </w:rPr>
              <w:t xml:space="preserve">No credible five-year standalone </w:t>
            </w:r>
            <w:r w:rsidRPr="00DC26B8">
              <w:rPr>
                <w:b/>
                <w:bCs/>
              </w:rPr>
              <w:lastRenderedPageBreak/>
              <w:t>forecast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73FAC" w14:textId="77777777" w:rsidR="00DC26B8" w:rsidRPr="00DC26B8" w:rsidRDefault="00DC26B8" w:rsidP="00DC26B8">
            <w:r w:rsidRPr="00DC26B8">
              <w:rPr>
                <w:b/>
                <w:bCs/>
              </w:rPr>
              <w:lastRenderedPageBreak/>
              <w:t>Not publicly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28D37" w14:textId="77777777" w:rsidR="00DC26B8" w:rsidRPr="00DC26B8" w:rsidRDefault="00DC26B8" w:rsidP="00DC26B8">
            <w:r w:rsidRPr="00DC26B8">
              <w:t>India’s workflow is structured around cashless pre-authorisation, insurers and TPAs rather than the US payer-</w:t>
            </w:r>
            <w:r w:rsidRPr="00DC26B8">
              <w:lastRenderedPageBreak/>
              <w:t>provider PA construct. Vendor revenues and market reports do not isolate AI pre-authorisation from claims adjudication, fraud analytics and TPA services.</w:t>
            </w:r>
          </w:p>
        </w:tc>
      </w:tr>
      <w:tr w:rsidR="00DC26B8" w:rsidRPr="00DC26B8" w14:paraId="30157A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C0697C" w14:textId="77777777" w:rsidR="00DC26B8" w:rsidRPr="00DC26B8" w:rsidRDefault="00DC26B8" w:rsidP="00DC26B8">
            <w:r w:rsidRPr="00DC26B8">
              <w:rPr>
                <w:b/>
                <w:bCs/>
              </w:rPr>
              <w:lastRenderedPageBreak/>
              <w:t>India, broad demand-pool proxy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B68E0" w14:textId="77777777" w:rsidR="00DC26B8" w:rsidRPr="00DC26B8" w:rsidRDefault="00DC26B8" w:rsidP="00DC26B8">
            <w:r w:rsidRPr="00DC26B8">
              <w:rPr>
                <w:b/>
                <w:bCs/>
              </w:rPr>
              <w:t>US$15.06bn health-insurance GWP in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3475F" w14:textId="77777777" w:rsidR="00DC26B8" w:rsidRPr="00DC26B8" w:rsidRDefault="00DC26B8" w:rsidP="00DC26B8">
            <w:r w:rsidRPr="00DC26B8">
              <w:rPr>
                <w:b/>
                <w:bCs/>
              </w:rPr>
              <w:t>US$46.37bn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5D3DD" w14:textId="77777777" w:rsidR="00DC26B8" w:rsidRPr="00DC26B8" w:rsidRDefault="00DC26B8" w:rsidP="00DC26B8">
            <w:r w:rsidRPr="00DC26B8">
              <w:rPr>
                <w:b/>
                <w:bCs/>
              </w:rPr>
              <w:t>20.9%, 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BDA2A6" w14:textId="77777777" w:rsidR="00DC26B8" w:rsidRPr="00DC26B8" w:rsidRDefault="00DC26B8" w:rsidP="00DC26B8">
            <w:r w:rsidRPr="00DC26B8">
              <w:t xml:space="preserve">Grand View Research measures insurance premiums, </w:t>
            </w:r>
            <w:r w:rsidRPr="00DC26B8">
              <w:rPr>
                <w:b/>
                <w:bCs/>
              </w:rPr>
              <w:t>not software spending or AI-prior-authorization revenue</w:t>
            </w:r>
            <w:r w:rsidRPr="00DC26B8">
              <w:t xml:space="preserve">. It is useful only as the expanding transaction-value pool on which claims-automation vendors operate. </w:t>
            </w:r>
            <w:hyperlink r:id="rId9" w:history="1">
              <w:r w:rsidRPr="00DC26B8">
                <w:rPr>
                  <w:rStyle w:val="Hyperlink"/>
                </w:rPr>
                <w:t>[grandviewr...search.com]</w:t>
              </w:r>
            </w:hyperlink>
            <w:r w:rsidRPr="00DC26B8">
              <w:t xml:space="preserve">, </w:t>
            </w:r>
            <w:hyperlink r:id="rId10" w:history="1">
              <w:r w:rsidRPr="00DC26B8">
                <w:rPr>
                  <w:rStyle w:val="Hyperlink"/>
                </w:rPr>
                <w:t>[grandviewr...search.com]</w:t>
              </w:r>
            </w:hyperlink>
          </w:p>
        </w:tc>
      </w:tr>
      <w:tr w:rsidR="00DC26B8" w:rsidRPr="00DC26B8" w14:paraId="7F79DA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FE8DDC" w14:textId="77777777" w:rsidR="00DC26B8" w:rsidRPr="00DC26B8" w:rsidRDefault="00DC26B8" w:rsidP="00DC26B8">
            <w:r w:rsidRPr="00DC26B8">
              <w:rPr>
                <w:b/>
                <w:bCs/>
              </w:rPr>
              <w:t>India, broad AI-healthcare proxy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510C1" w14:textId="77777777" w:rsidR="00DC26B8" w:rsidRPr="00DC26B8" w:rsidRDefault="00DC26B8" w:rsidP="00DC26B8">
            <w:r w:rsidRPr="00DC26B8">
              <w:rPr>
                <w:b/>
                <w:bCs/>
              </w:rPr>
              <w:t>US$10bn in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0A22B" w14:textId="77777777" w:rsidR="00DC26B8" w:rsidRPr="00DC26B8" w:rsidRDefault="00DC26B8" w:rsidP="00DC26B8">
            <w:r w:rsidRPr="00DC26B8">
              <w:rPr>
                <w:b/>
                <w:bCs/>
              </w:rPr>
              <w:t>US$35bn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A0E3C" w14:textId="77777777" w:rsidR="00DC26B8" w:rsidRPr="00DC26B8" w:rsidRDefault="00DC26B8" w:rsidP="00DC26B8">
            <w:r w:rsidRPr="00DC26B8">
              <w:rPr>
                <w:b/>
                <w:bCs/>
              </w:rPr>
              <w:t>Approximately 30%, 2022–2030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0D9A1" w14:textId="77777777" w:rsidR="00DC26B8" w:rsidRPr="00DC26B8" w:rsidRDefault="00DC26B8" w:rsidP="00DC26B8">
            <w:r w:rsidRPr="00DC26B8">
              <w:t xml:space="preserve">Custom Market Insights includes diagnostics, surgery, workflow assistants, fraud detection, cybersecurity and other applications. It is materially broader than insurance and prior auth and should not be compared directly with the global figures above. </w:t>
            </w:r>
            <w:r w:rsidRPr="00DC26B8">
              <w:rPr>
                <w:b/>
                <w:bCs/>
              </w:rPr>
              <w:t>Low confidence for investment sizing.</w:t>
            </w:r>
            <w:r w:rsidRPr="00DC26B8">
              <w:t xml:space="preserve"> </w:t>
            </w:r>
            <w:hyperlink r:id="rId11" w:history="1">
              <w:r w:rsidRPr="00DC26B8">
                <w:rPr>
                  <w:rStyle w:val="Hyperlink"/>
                </w:rPr>
                <w:t>[custommark...sights.com]</w:t>
              </w:r>
            </w:hyperlink>
          </w:p>
        </w:tc>
      </w:tr>
    </w:tbl>
    <w:p w14:paraId="00BD0820" w14:textId="77777777" w:rsidR="00DC26B8" w:rsidRPr="00DC26B8" w:rsidRDefault="00DC26B8" w:rsidP="00DC26B8">
      <w:pPr>
        <w:rPr>
          <w:b/>
          <w:bCs/>
        </w:rPr>
      </w:pPr>
      <w:r w:rsidRPr="00DC26B8">
        <w:rPr>
          <w:b/>
          <w:bCs/>
        </w:rPr>
        <w:t>Interpretation</w:t>
      </w:r>
    </w:p>
    <w:p w14:paraId="6EED7197" w14:textId="77777777" w:rsidR="00DC26B8" w:rsidRPr="00DC26B8" w:rsidRDefault="00DC26B8" w:rsidP="00DC26B8">
      <w:r w:rsidRPr="00DC26B8">
        <w:lastRenderedPageBreak/>
        <w:t xml:space="preserve">The investable market is growing quickly, but reported values vary by more than twofold even in the same base year because publishers inconsistently include services, hardware, eligibility, full claims management, pharmacy authorization and RCM outsourcing. The most defensible base case is the narrower Mordor Intelligence estimate of </w:t>
      </w:r>
      <w:r w:rsidRPr="00DC26B8">
        <w:rPr>
          <w:b/>
          <w:bCs/>
        </w:rPr>
        <w:t>US$1.74bn in 2026 growing to US$4.21bn in 2031</w:t>
      </w:r>
      <w:r w:rsidRPr="00DC26B8">
        <w:t xml:space="preserve">, with the Fortune Business Insights and DataIntelo estimates treated as high-growth sensitivities rather than corroboration. </w:t>
      </w:r>
      <w:hyperlink r:id="rId12" w:history="1">
        <w:r w:rsidRPr="00DC26B8">
          <w:rPr>
            <w:rStyle w:val="Hyperlink"/>
          </w:rPr>
          <w:t>[mordorinte...igence.com]</w:t>
        </w:r>
      </w:hyperlink>
      <w:r w:rsidRPr="00DC26B8">
        <w:t xml:space="preserve">, </w:t>
      </w:r>
      <w:hyperlink r:id="rId13" w:history="1">
        <w:r w:rsidRPr="00DC26B8">
          <w:rPr>
            <w:rStyle w:val="Hyperlink"/>
          </w:rPr>
          <w:t>[dataintelo.com]</w:t>
        </w:r>
      </w:hyperlink>
      <w:r w:rsidRPr="00DC26B8">
        <w:t xml:space="preserve">, </w:t>
      </w:r>
      <w:hyperlink r:id="rId14" w:history="1">
        <w:r w:rsidRPr="00DC26B8">
          <w:rPr>
            <w:rStyle w:val="Hyperlink"/>
          </w:rPr>
          <w:t>[fortunebus...sights.com]</w:t>
        </w:r>
      </w:hyperlink>
    </w:p>
    <w:p w14:paraId="262B9004" w14:textId="77777777" w:rsidR="00DC26B8" w:rsidRPr="00DC26B8" w:rsidRDefault="00DC26B8" w:rsidP="00DC26B8">
      <w:r w:rsidRPr="00DC26B8">
        <w:t xml:space="preserve">The US is likely the largest commercial opportunity because of its fragmented multi-payer environment and the mandatory shift to electronic prior authorization. However, an exact US TAM cannot be supported from publicly disclosed market-report data. India is earlier and smaller in software monetisation, but its one-hour cashless pre-authorisation rule and National Health Claims Exchange infrastructure create a strong structural automation catalyst. </w:t>
      </w:r>
      <w:hyperlink r:id="rId15" w:history="1">
        <w:r w:rsidRPr="00DC26B8">
          <w:rPr>
            <w:rStyle w:val="Hyperlink"/>
          </w:rPr>
          <w:t>[cms.gov]</w:t>
        </w:r>
      </w:hyperlink>
      <w:r w:rsidRPr="00DC26B8">
        <w:t xml:space="preserve">, </w:t>
      </w:r>
      <w:hyperlink r:id="rId16" w:history="1">
        <w:r w:rsidRPr="00DC26B8">
          <w:rPr>
            <w:rStyle w:val="Hyperlink"/>
          </w:rPr>
          <w:t>[sarvada.ai]</w:t>
        </w:r>
      </w:hyperlink>
      <w:r w:rsidRPr="00DC26B8">
        <w:t xml:space="preserve">, </w:t>
      </w:r>
      <w:hyperlink r:id="rId17" w:history="1">
        <w:r w:rsidRPr="00DC26B8">
          <w:rPr>
            <w:rStyle w:val="Hyperlink"/>
          </w:rPr>
          <w:t>[hcxbeta.nha.gov.in]</w:t>
        </w:r>
      </w:hyperlink>
    </w:p>
    <w:p w14:paraId="7040A684" w14:textId="77777777" w:rsidR="00DC26B8" w:rsidRPr="00DC26B8" w:rsidRDefault="00DC26B8" w:rsidP="00DC26B8">
      <w:pPr>
        <w:rPr>
          <w:b/>
          <w:bCs/>
        </w:rPr>
      </w:pPr>
      <w:r w:rsidRPr="00DC26B8">
        <w:rPr>
          <w:b/>
          <w:bCs/>
        </w:rPr>
        <w:t>2. AI Maturity</w:t>
      </w:r>
    </w:p>
    <w:p w14:paraId="7B411793" w14:textId="77777777" w:rsidR="00DC26B8" w:rsidRPr="00DC26B8" w:rsidRDefault="00DC26B8" w:rsidP="00DC26B8">
      <w:r w:rsidRPr="00DC26B8">
        <w:rPr>
          <w:b/>
          <w:bCs/>
        </w:rPr>
        <w:t>Overall assessment: proven in production for workflow automation, but not yet proven for fully autonomous adverse clinical or coverage decisions.</w:t>
      </w:r>
    </w:p>
    <w:p w14:paraId="0B326BE6" w14:textId="77777777" w:rsidR="00DC26B8" w:rsidRPr="00DC26B8" w:rsidRDefault="00DC26B8" w:rsidP="00DC26B8">
      <w:r w:rsidRPr="00DC26B8">
        <w:t>This is not merely a pilot market. There are already vendors operating across hundreds of hospitals, thousands of facilities and millions of transactions:</w:t>
      </w:r>
    </w:p>
    <w:p w14:paraId="28621605" w14:textId="77777777" w:rsidR="00DC26B8" w:rsidRPr="00DC26B8" w:rsidRDefault="00DC26B8" w:rsidP="00DC26B8">
      <w:pPr>
        <w:numPr>
          <w:ilvl w:val="0"/>
          <w:numId w:val="1"/>
        </w:numPr>
      </w:pPr>
      <w:r w:rsidRPr="00DC26B8">
        <w:t xml:space="preserve">Humata Health reported that its technology was used by </w:t>
      </w:r>
      <w:r w:rsidRPr="00DC26B8">
        <w:rPr>
          <w:b/>
          <w:bCs/>
        </w:rPr>
        <w:t>more than 42,000 physicians across 225 hospitals</w:t>
      </w:r>
      <w:r w:rsidRPr="00DC26B8">
        <w:t xml:space="preserve"> as of June 2024. That is concrete production deployment rather than an announced pilot. </w:t>
      </w:r>
      <w:hyperlink r:id="rId18" w:history="1">
        <w:r w:rsidRPr="00DC26B8">
          <w:rPr>
            <w:rStyle w:val="Hyperlink"/>
          </w:rPr>
          <w:t>[businesswire.com]</w:t>
        </w:r>
      </w:hyperlink>
    </w:p>
    <w:p w14:paraId="55F391E3" w14:textId="77777777" w:rsidR="00DC26B8" w:rsidRPr="00DC26B8" w:rsidRDefault="00DC26B8" w:rsidP="00DC26B8">
      <w:pPr>
        <w:numPr>
          <w:ilvl w:val="0"/>
          <w:numId w:val="1"/>
        </w:numPr>
      </w:pPr>
      <w:r w:rsidRPr="00DC26B8">
        <w:t xml:space="preserve">Infinx reported support for </w:t>
      </w:r>
      <w:r w:rsidRPr="00DC26B8">
        <w:rPr>
          <w:b/>
          <w:bCs/>
        </w:rPr>
        <w:t>172,000 healthcare professionals across 4,000 facilities and more than 400 provider organisations</w:t>
      </w:r>
      <w:r w:rsidRPr="00DC26B8">
        <w:t xml:space="preserve"> when KKR invested in May 2024. Its prior-authorization product combines automated requirement determination, electronic submission, status checking and human specialist handling for exceptions. </w:t>
      </w:r>
      <w:hyperlink r:id="rId19" w:history="1">
        <w:r w:rsidRPr="00DC26B8">
          <w:rPr>
            <w:rStyle w:val="Hyperlink"/>
          </w:rPr>
          <w:t>[media.kkr.com]</w:t>
        </w:r>
      </w:hyperlink>
      <w:r w:rsidRPr="00DC26B8">
        <w:t xml:space="preserve">, </w:t>
      </w:r>
      <w:hyperlink r:id="rId20" w:history="1">
        <w:r w:rsidRPr="00DC26B8">
          <w:rPr>
            <w:rStyle w:val="Hyperlink"/>
          </w:rPr>
          <w:t>[infinx.com]</w:t>
        </w:r>
      </w:hyperlink>
    </w:p>
    <w:p w14:paraId="7C3083A8" w14:textId="77777777" w:rsidR="00DC26B8" w:rsidRPr="00DC26B8" w:rsidRDefault="00DC26B8" w:rsidP="00DC26B8">
      <w:pPr>
        <w:numPr>
          <w:ilvl w:val="0"/>
          <w:numId w:val="1"/>
        </w:numPr>
      </w:pPr>
      <w:r w:rsidRPr="00DC26B8">
        <w:t xml:space="preserve">Vitraya Technologies states that its platform processes approximately </w:t>
      </w:r>
      <w:r w:rsidRPr="00DC26B8">
        <w:rPr>
          <w:b/>
          <w:bCs/>
        </w:rPr>
        <w:t>10 million claims worth US$2bn annually</w:t>
      </w:r>
      <w:r w:rsidRPr="00DC26B8">
        <w:t xml:space="preserve"> and connects more than </w:t>
      </w:r>
      <w:r w:rsidRPr="00DC26B8">
        <w:rPr>
          <w:b/>
          <w:bCs/>
        </w:rPr>
        <w:t>6,000 hospitals</w:t>
      </w:r>
      <w:r w:rsidRPr="00DC26B8">
        <w:t xml:space="preserve">. These are company-reported figures and have not been independently audited, but they evidence meaningful operating scale in India. </w:t>
      </w:r>
      <w:hyperlink r:id="rId21" w:history="1">
        <w:r w:rsidRPr="00DC26B8">
          <w:rPr>
            <w:rStyle w:val="Hyperlink"/>
          </w:rPr>
          <w:t>[vitraya.com]</w:t>
        </w:r>
      </w:hyperlink>
    </w:p>
    <w:p w14:paraId="6C37CE32" w14:textId="77777777" w:rsidR="00DC26B8" w:rsidRPr="00DC26B8" w:rsidRDefault="00DC26B8" w:rsidP="00DC26B8">
      <w:pPr>
        <w:numPr>
          <w:ilvl w:val="0"/>
          <w:numId w:val="1"/>
        </w:numPr>
      </w:pPr>
      <w:r w:rsidRPr="00DC26B8">
        <w:t xml:space="preserve">Availity connects more than </w:t>
      </w:r>
      <w:r w:rsidRPr="00DC26B8">
        <w:rPr>
          <w:b/>
          <w:bCs/>
        </w:rPr>
        <w:t>two million providers</w:t>
      </w:r>
      <w:r w:rsidRPr="00DC26B8">
        <w:t xml:space="preserve"> and facilitates more than </w:t>
      </w:r>
      <w:r w:rsidRPr="00DC26B8">
        <w:rPr>
          <w:b/>
          <w:bCs/>
        </w:rPr>
        <w:t>13 billion electronic transactions annually</w:t>
      </w:r>
      <w:r w:rsidRPr="00DC26B8">
        <w:t xml:space="preserve"> across its broader payer-provider network. Prior auth is one workflow within this infrastructure rather than all volume being prior authorization. </w:t>
      </w:r>
      <w:hyperlink r:id="rId22" w:history="1">
        <w:r w:rsidRPr="00DC26B8">
          <w:rPr>
            <w:rStyle w:val="Hyperlink"/>
          </w:rPr>
          <w:t>[novoholdings.dk]</w:t>
        </w:r>
      </w:hyperlink>
    </w:p>
    <w:p w14:paraId="33EE5245" w14:textId="77777777" w:rsidR="00DC26B8" w:rsidRPr="00DC26B8" w:rsidRDefault="00DC26B8" w:rsidP="00DC26B8">
      <w:pPr>
        <w:numPr>
          <w:ilvl w:val="0"/>
          <w:numId w:val="1"/>
        </w:numPr>
      </w:pPr>
      <w:r w:rsidRPr="00DC26B8">
        <w:lastRenderedPageBreak/>
        <w:t xml:space="preserve">Waystar reported </w:t>
      </w:r>
      <w:r w:rsidRPr="00DC26B8">
        <w:rPr>
          <w:b/>
          <w:bCs/>
        </w:rPr>
        <w:t>US$1.099bn FY2025 revenue</w:t>
      </w:r>
      <w:r w:rsidRPr="00DC26B8">
        <w:t xml:space="preserve">, </w:t>
      </w:r>
      <w:r w:rsidRPr="00DC26B8">
        <w:rPr>
          <w:b/>
          <w:bCs/>
        </w:rPr>
        <w:t>1,391 clients contributing over US$100,000 each in trailing-12-month revenue</w:t>
      </w:r>
      <w:r w:rsidRPr="00DC26B8">
        <w:t xml:space="preserve">, and </w:t>
      </w:r>
      <w:r w:rsidRPr="00DC26B8">
        <w:rPr>
          <w:b/>
          <w:bCs/>
        </w:rPr>
        <w:t>112% net revenue retention</w:t>
      </w:r>
      <w:r w:rsidRPr="00DC26B8">
        <w:t xml:space="preserve">. These figures cover its broader healthcare-payments platform, not prior authorization alone. </w:t>
      </w:r>
      <w:hyperlink r:id="rId23" w:history="1">
        <w:r w:rsidRPr="00DC26B8">
          <w:rPr>
            <w:rStyle w:val="Hyperlink"/>
          </w:rPr>
          <w:t>[waystar.com]</w:t>
        </w:r>
      </w:hyperlink>
    </w:p>
    <w:p w14:paraId="58D6EF84" w14:textId="77777777" w:rsidR="00DC26B8" w:rsidRPr="00DC26B8" w:rsidRDefault="00DC26B8" w:rsidP="00DC26B8">
      <w:r w:rsidRPr="00DC26B8">
        <w:rPr>
          <w:b/>
          <w:bCs/>
        </w:rPr>
        <w:t>FDA/CDSCO clearance evidence.</w:t>
      </w:r>
      <w:r w:rsidRPr="00DC26B8">
        <w:t xml:space="preserve"> An FDA or CDSCO clearance count is not a meaningful maturity KPI for most products in this segment. Administrative prior-authorization, billing, eligibility and claims-routing software is generally outside medical-device regulation unless its intended use crosses into diagnosis, treatment or patient-specific clinical decision-making. FDA’s January 2026 guidance confirms that certain CDS functions are excluded from the device definition, while other higher-risk decision-support functions remain regulated. In India, CDSCO’s medical-device-software guidance distinguishes medical-purpose software from administrative or general data-management software; hospital billing and comparable non-clinical applications are outside the medical-device scope. </w:t>
      </w:r>
      <w:hyperlink r:id="rId24" w:history="1">
        <w:r w:rsidRPr="00DC26B8">
          <w:rPr>
            <w:rStyle w:val="Hyperlink"/>
          </w:rPr>
          <w:t>[fda.gov]</w:t>
        </w:r>
      </w:hyperlink>
      <w:r w:rsidRPr="00DC26B8">
        <w:t xml:space="preserve">, </w:t>
      </w:r>
      <w:hyperlink r:id="rId25" w:history="1">
        <w:r w:rsidRPr="00DC26B8">
          <w:rPr>
            <w:rStyle w:val="Hyperlink"/>
          </w:rPr>
          <w:t>[fda.gov]</w:t>
        </w:r>
      </w:hyperlink>
      <w:r w:rsidRPr="00DC26B8">
        <w:t xml:space="preserve"> </w:t>
      </w:r>
      <w:hyperlink r:id="rId26" w:history="1">
        <w:r w:rsidRPr="00DC26B8">
          <w:rPr>
            <w:rStyle w:val="Hyperlink"/>
          </w:rPr>
          <w:t>[acplgroupindia.co.in]</w:t>
        </w:r>
      </w:hyperlink>
      <w:r w:rsidRPr="00DC26B8">
        <w:t xml:space="preserve">, </w:t>
      </w:r>
      <w:hyperlink r:id="rId27" w:history="1">
        <w:r w:rsidRPr="00DC26B8">
          <w:rPr>
            <w:rStyle w:val="Hyperlink"/>
          </w:rPr>
          <w:t>[cdsco.gov.in]</w:t>
        </w:r>
      </w:hyperlink>
    </w:p>
    <w:p w14:paraId="48AF7B9C" w14:textId="77777777" w:rsidR="00DC26B8" w:rsidRPr="00DC26B8" w:rsidRDefault="00DC26B8" w:rsidP="00DC26B8">
      <w:r w:rsidRPr="00DC26B8">
        <w:t xml:space="preserve">Accordingly, </w:t>
      </w:r>
      <w:r w:rsidRPr="00DC26B8">
        <w:rPr>
          <w:b/>
          <w:bCs/>
        </w:rPr>
        <w:t>no defensible number of FDA or CDSCO clearances can be attributed to the AI-prior-authorization category</w:t>
      </w:r>
      <w:r w:rsidRPr="00DC26B8">
        <w:t>, and “zero identified clearances” should not be interpreted as lack of commercial maturity. The more relevant evidence is production transaction volume, integration breadth, straight-through-processing rates, first-pass approvals, financial ROI and customer retention.</w:t>
      </w:r>
    </w:p>
    <w:p w14:paraId="0F25F5A7" w14:textId="77777777" w:rsidR="00DC26B8" w:rsidRPr="00DC26B8" w:rsidRDefault="00DC26B8" w:rsidP="00DC26B8">
      <w:r w:rsidRPr="00DC26B8">
        <w:t xml:space="preserve">Maturity remains uneven. A 2025 Cohere Health survey of 200 US clinicians and office administrators found that only </w:t>
      </w:r>
      <w:r w:rsidRPr="00DC26B8">
        <w:rPr>
          <w:b/>
          <w:bCs/>
        </w:rPr>
        <w:t>16% of administrators and 24% of clinicians</w:t>
      </w:r>
      <w:r w:rsidRPr="00DC26B8">
        <w:t xml:space="preserve"> used electronic PA platforms for more than 40% of submissions, while approximately one-quarter of requests were still submitted by fax or phone. Because this is a vendor-sponsored survey, it should be treated as directional. Separately, HealthEdge reported that </w:t>
      </w:r>
      <w:r w:rsidRPr="00DC26B8">
        <w:rPr>
          <w:b/>
          <w:bCs/>
        </w:rPr>
        <w:t>91% of 550 health-plan executives</w:t>
      </w:r>
      <w:r w:rsidRPr="00DC26B8">
        <w:t xml:space="preserve"> were adopting AI in 2026, but “adopting” includes pilots and use cases beyond prior authorization. </w:t>
      </w:r>
      <w:hyperlink r:id="rId28" w:history="1">
        <w:r w:rsidRPr="00DC26B8">
          <w:rPr>
            <w:rStyle w:val="Hyperlink"/>
          </w:rPr>
          <w:t>[coherehealth.com]</w:t>
        </w:r>
      </w:hyperlink>
      <w:r w:rsidRPr="00DC26B8">
        <w:t xml:space="preserve"> </w:t>
      </w:r>
      <w:hyperlink r:id="rId29" w:history="1">
        <w:r w:rsidRPr="00DC26B8">
          <w:rPr>
            <w:rStyle w:val="Hyperlink"/>
          </w:rPr>
          <w:t>[go.healthedge.com]</w:t>
        </w:r>
      </w:hyperlink>
    </w:p>
    <w:p w14:paraId="3E4DC350" w14:textId="77777777" w:rsidR="00DC26B8" w:rsidRPr="00DC26B8" w:rsidRDefault="00DC26B8" w:rsidP="00DC26B8">
      <w:pPr>
        <w:rPr>
          <w:b/>
          <w:bCs/>
        </w:rPr>
      </w:pPr>
      <w:r w:rsidRPr="00DC26B8">
        <w:rPr>
          <w:b/>
          <w:bCs/>
        </w:rPr>
        <w:t>3. Key Players</w:t>
      </w:r>
    </w:p>
    <w:p w14:paraId="484A9E04" w14:textId="77777777" w:rsidR="00DC26B8" w:rsidRPr="00DC26B8" w:rsidRDefault="00DC26B8" w:rsidP="00DC26B8">
      <w:pPr>
        <w:rPr>
          <w:b/>
          <w:bCs/>
        </w:rPr>
      </w:pPr>
      <w:r w:rsidRPr="00DC26B8">
        <w:rPr>
          <w:b/>
          <w:bCs/>
        </w:rPr>
        <w:t>Cohere Health</w:t>
      </w:r>
    </w:p>
    <w:p w14:paraId="719CE401" w14:textId="77777777" w:rsidR="00DC26B8" w:rsidRPr="00DC26B8" w:rsidRDefault="00DC26B8" w:rsidP="00DC26B8">
      <w:r w:rsidRPr="00DC26B8">
        <w:t xml:space="preserve">Cohere sells clinical-intelligence and utilization-management software primarily to health plans and risk-bearing providers. Its platform digitises PA intake, extracts relevant clinical records, compares requests with medical-policy criteria, routes exceptions for clinical review and supports policy management, appeals and payment integrity. The company states that AI does not exclusively deny requests, an important control given regulatory and reputational sensitivity. Company-reported deployments have achieved high automated </w:t>
      </w:r>
      <w:r w:rsidRPr="00DC26B8">
        <w:lastRenderedPageBreak/>
        <w:t xml:space="preserve">approval rates, but many outcome claims are not independently evaluated. </w:t>
      </w:r>
      <w:hyperlink r:id="rId30" w:history="1">
        <w:r w:rsidRPr="00DC26B8">
          <w:rPr>
            <w:rStyle w:val="Hyperlink"/>
          </w:rPr>
          <w:t>[intuitionlabs.ai]</w:t>
        </w:r>
      </w:hyperlink>
    </w:p>
    <w:p w14:paraId="2AE3F16D" w14:textId="77777777" w:rsidR="00DC26B8" w:rsidRPr="00DC26B8" w:rsidRDefault="00DC26B8" w:rsidP="00DC26B8">
      <w:r w:rsidRPr="00DC26B8">
        <w:t xml:space="preserve">It is private and VC-backed. A </w:t>
      </w:r>
      <w:r w:rsidRPr="00DC26B8">
        <w:rPr>
          <w:b/>
          <w:bCs/>
        </w:rPr>
        <w:t>US$90m Series C in May 2025</w:t>
      </w:r>
      <w:r w:rsidRPr="00DC26B8">
        <w:t xml:space="preserve">, led by Temasek, brought publicly reported total funding to approximately </w:t>
      </w:r>
      <w:r w:rsidRPr="00DC26B8">
        <w:rPr>
          <w:b/>
          <w:bCs/>
        </w:rPr>
        <w:t>US$200m</w:t>
      </w:r>
      <w:r w:rsidRPr="00DC26B8">
        <w:t xml:space="preserve">; existing investors include Deerfield Management, Define Ventures, Flare Capital Partners, Longitude Capital and Polaris Partners. The company had previously raised </w:t>
      </w:r>
      <w:r w:rsidRPr="00DC26B8">
        <w:rPr>
          <w:b/>
          <w:bCs/>
        </w:rPr>
        <w:t>US$50m in February 2024</w:t>
      </w:r>
      <w:r w:rsidRPr="00DC26B8">
        <w:t xml:space="preserve">, taking its then-total to </w:t>
      </w:r>
      <w:r w:rsidRPr="00DC26B8">
        <w:rPr>
          <w:b/>
          <w:bCs/>
        </w:rPr>
        <w:t>US$106m</w:t>
      </w:r>
      <w:r w:rsidRPr="00DC26B8">
        <w:t xml:space="preserve">. </w:t>
      </w:r>
      <w:hyperlink r:id="rId31" w:history="1">
        <w:r w:rsidRPr="00DC26B8">
          <w:rPr>
            <w:rStyle w:val="Hyperlink"/>
          </w:rPr>
          <w:t>[pitchbook.com]</w:t>
        </w:r>
      </w:hyperlink>
      <w:r w:rsidRPr="00DC26B8">
        <w:t xml:space="preserve">, </w:t>
      </w:r>
      <w:hyperlink r:id="rId32" w:history="1">
        <w:r w:rsidRPr="00DC26B8">
          <w:rPr>
            <w:rStyle w:val="Hyperlink"/>
          </w:rPr>
          <w:t>[intuitionlabs.ai]</w:t>
        </w:r>
      </w:hyperlink>
      <w:r w:rsidRPr="00DC26B8">
        <w:t xml:space="preserve">, </w:t>
      </w:r>
      <w:hyperlink r:id="rId33" w:history="1">
        <w:r w:rsidRPr="00DC26B8">
          <w:rPr>
            <w:rStyle w:val="Hyperlink"/>
          </w:rPr>
          <w:t>[coherehealth.com]</w:t>
        </w:r>
      </w:hyperlink>
    </w:p>
    <w:p w14:paraId="05B1AE34" w14:textId="77777777" w:rsidR="00DC26B8" w:rsidRPr="00DC26B8" w:rsidRDefault="00DC26B8" w:rsidP="00DC26B8">
      <w:pPr>
        <w:rPr>
          <w:b/>
          <w:bCs/>
        </w:rPr>
      </w:pPr>
      <w:r w:rsidRPr="00DC26B8">
        <w:rPr>
          <w:b/>
          <w:bCs/>
        </w:rPr>
        <w:t>Humata Health / R1</w:t>
      </w:r>
    </w:p>
    <w:p w14:paraId="0C74BEEF" w14:textId="77777777" w:rsidR="00DC26B8" w:rsidRPr="00DC26B8" w:rsidRDefault="00DC26B8" w:rsidP="00DC26B8">
      <w:r w:rsidRPr="00DC26B8">
        <w:t xml:space="preserve">Humata automates PA from requirement detection through documentation selection, policy matching, submission, payer connectivity, status follow-up and final approval. It serves providers, payers and pharmacies and targets touchless authorization for straightforward cases with short human-review times for exceptions. As of June 2024, more than </w:t>
      </w:r>
      <w:r w:rsidRPr="00DC26B8">
        <w:rPr>
          <w:b/>
          <w:bCs/>
        </w:rPr>
        <w:t>42,000 physicians at 225 hospitals</w:t>
      </w:r>
      <w:r w:rsidRPr="00DC26B8">
        <w:t xml:space="preserve"> reportedly relied on its platform. </w:t>
      </w:r>
      <w:hyperlink r:id="rId34" w:history="1">
        <w:r w:rsidRPr="00DC26B8">
          <w:rPr>
            <w:rStyle w:val="Hyperlink"/>
          </w:rPr>
          <w:t>[businesswire.com]</w:t>
        </w:r>
      </w:hyperlink>
      <w:r w:rsidRPr="00DC26B8">
        <w:t xml:space="preserve">, </w:t>
      </w:r>
      <w:hyperlink r:id="rId35" w:history="1">
        <w:r w:rsidRPr="00DC26B8">
          <w:rPr>
            <w:rStyle w:val="Hyperlink"/>
          </w:rPr>
          <w:t>[humatahealth.com]</w:t>
        </w:r>
      </w:hyperlink>
    </w:p>
    <w:p w14:paraId="75CD9995" w14:textId="77777777" w:rsidR="00DC26B8" w:rsidRPr="00DC26B8" w:rsidRDefault="00DC26B8" w:rsidP="00DC26B8">
      <w:r w:rsidRPr="00DC26B8">
        <w:t xml:space="preserve">Humata raised </w:t>
      </w:r>
      <w:r w:rsidRPr="00DC26B8">
        <w:rPr>
          <w:b/>
          <w:bCs/>
        </w:rPr>
        <w:t>US$25m in June 2024</w:t>
      </w:r>
      <w:r w:rsidRPr="00DC26B8">
        <w:t xml:space="preserve">, led by Blue Venture Fund and LRVHealth, with participation from Optum Ventures, .406 Ventures, Highmark Ventures and VentureforGood. On </w:t>
      </w:r>
      <w:r w:rsidRPr="00DC26B8">
        <w:rPr>
          <w:b/>
          <w:bCs/>
        </w:rPr>
        <w:t>18 August 2026</w:t>
      </w:r>
      <w:r w:rsidRPr="00DC26B8">
        <w:t xml:space="preserve">, PE-backed R1 agreed to acquire Humata; consideration was not disclosed and closing was expected by the end of Q3 2026. The stated plan is to embed Humata’s policy monitoring, clinical-bundle creation and autonomous submission capabilities into R1’s Phare OS and R37 innovation lab. </w:t>
      </w:r>
      <w:hyperlink r:id="rId36" w:history="1">
        <w:r w:rsidRPr="00DC26B8">
          <w:rPr>
            <w:rStyle w:val="Hyperlink"/>
          </w:rPr>
          <w:t>[businesswire.com]</w:t>
        </w:r>
      </w:hyperlink>
      <w:r w:rsidRPr="00DC26B8">
        <w:t xml:space="preserve"> </w:t>
      </w:r>
      <w:hyperlink r:id="rId37" w:history="1">
        <w:r w:rsidRPr="00DC26B8">
          <w:rPr>
            <w:rStyle w:val="Hyperlink"/>
          </w:rPr>
          <w:t>[r1rcm.com]</w:t>
        </w:r>
      </w:hyperlink>
      <w:r w:rsidRPr="00DC26B8">
        <w:t xml:space="preserve">, </w:t>
      </w:r>
      <w:hyperlink r:id="rId38" w:history="1">
        <w:r w:rsidRPr="00DC26B8">
          <w:rPr>
            <w:rStyle w:val="Hyperlink"/>
          </w:rPr>
          <w:t>[acquiry.com]</w:t>
        </w:r>
      </w:hyperlink>
    </w:p>
    <w:p w14:paraId="6B89E342" w14:textId="77777777" w:rsidR="00DC26B8" w:rsidRPr="00DC26B8" w:rsidRDefault="00DC26B8" w:rsidP="00DC26B8">
      <w:pPr>
        <w:rPr>
          <w:b/>
          <w:bCs/>
        </w:rPr>
      </w:pPr>
      <w:r w:rsidRPr="00DC26B8">
        <w:rPr>
          <w:b/>
          <w:bCs/>
        </w:rPr>
        <w:t>Infinx</w:t>
      </w:r>
    </w:p>
    <w:p w14:paraId="23E05E2E" w14:textId="77777777" w:rsidR="00DC26B8" w:rsidRPr="00DC26B8" w:rsidRDefault="00DC26B8" w:rsidP="00DC26B8">
      <w:r w:rsidRPr="00DC26B8">
        <w:t xml:space="preserve">Infinx combines AI-enabled software with specialist operations across patient access, prior authorization, coding, billing, denials and revenue recovery. For prior auth, its software determines whether authorization is required, initiates electronic requests, monitors status and routes non-electronic or complex cases to trained staff. This hybrid software-plus-services model is particularly relevant where payer portals, fax workflows and unstructured documents prevent end-to-end automation. </w:t>
      </w:r>
      <w:hyperlink r:id="rId39" w:history="1">
        <w:r w:rsidRPr="00DC26B8">
          <w:rPr>
            <w:rStyle w:val="Hyperlink"/>
          </w:rPr>
          <w:t>[infinx.com]</w:t>
        </w:r>
      </w:hyperlink>
      <w:r w:rsidRPr="00DC26B8">
        <w:t xml:space="preserve">, </w:t>
      </w:r>
      <w:hyperlink r:id="rId40" w:history="1">
        <w:r w:rsidRPr="00DC26B8">
          <w:rPr>
            <w:rStyle w:val="Hyperlink"/>
          </w:rPr>
          <w:t>[infinx.com]</w:t>
        </w:r>
      </w:hyperlink>
    </w:p>
    <w:p w14:paraId="7189C048" w14:textId="77777777" w:rsidR="00DC26B8" w:rsidRPr="00DC26B8" w:rsidRDefault="00DC26B8" w:rsidP="00DC26B8">
      <w:r w:rsidRPr="00DC26B8">
        <w:t xml:space="preserve">The company is private and PE-backed. KKR acquired a </w:t>
      </w:r>
      <w:r w:rsidRPr="00DC26B8">
        <w:rPr>
          <w:b/>
          <w:bCs/>
        </w:rPr>
        <w:t>significant minority stake on 21 May 2024</w:t>
      </w:r>
      <w:r w:rsidRPr="00DC26B8">
        <w:t xml:space="preserve">, with Norwest Venture Partners also participating. The official announcement did not disclose consideration; media reports cited approximately </w:t>
      </w:r>
      <w:r w:rsidRPr="00DC26B8">
        <w:rPr>
          <w:b/>
          <w:bCs/>
        </w:rPr>
        <w:t>US$150m</w:t>
      </w:r>
      <w:r w:rsidRPr="00DC26B8">
        <w:t xml:space="preserve">, which should be treated as unconfirmed. At transaction announcement, Infinx reported more than </w:t>
      </w:r>
      <w:r w:rsidRPr="00DC26B8">
        <w:rPr>
          <w:b/>
          <w:bCs/>
        </w:rPr>
        <w:t>400 provider-organisation customers, 4,000 facilities and 172,000 healthcare professionals supported</w:t>
      </w:r>
      <w:r w:rsidRPr="00DC26B8">
        <w:t xml:space="preserve">. </w:t>
      </w:r>
      <w:hyperlink r:id="rId41" w:history="1">
        <w:r w:rsidRPr="00DC26B8">
          <w:rPr>
            <w:rStyle w:val="Hyperlink"/>
          </w:rPr>
          <w:t>[media.kkr.com]</w:t>
        </w:r>
      </w:hyperlink>
      <w:r w:rsidRPr="00DC26B8">
        <w:t xml:space="preserve">, </w:t>
      </w:r>
      <w:hyperlink r:id="rId42" w:history="1">
        <w:r w:rsidRPr="00DC26B8">
          <w:rPr>
            <w:rStyle w:val="Hyperlink"/>
          </w:rPr>
          <w:t>[infinx.com]</w:t>
        </w:r>
      </w:hyperlink>
    </w:p>
    <w:p w14:paraId="4CA2857D" w14:textId="77777777" w:rsidR="00DC26B8" w:rsidRPr="00DC26B8" w:rsidRDefault="00DC26B8" w:rsidP="00DC26B8">
      <w:pPr>
        <w:rPr>
          <w:b/>
          <w:bCs/>
        </w:rPr>
      </w:pPr>
      <w:r w:rsidRPr="00DC26B8">
        <w:rPr>
          <w:b/>
          <w:bCs/>
        </w:rPr>
        <w:lastRenderedPageBreak/>
        <w:t>Vitraya Technologies</w:t>
      </w:r>
    </w:p>
    <w:p w14:paraId="11E7E5A7" w14:textId="77777777" w:rsidR="00DC26B8" w:rsidRPr="00DC26B8" w:rsidRDefault="00DC26B8" w:rsidP="00DC26B8">
      <w:r w:rsidRPr="00DC26B8">
        <w:t xml:space="preserve">India-based Vitraya automates health-insurance claims adjudication and settlement using medical NLP, supervised learning, policy-rule matching, fraud detection and document analysis. Its use case overlaps prior authorization because the same platform evaluates coverage, medical admissibility, tariffs and documentation for cashless claims. It reports processing claims in under one minute, approximately </w:t>
      </w:r>
      <w:r w:rsidRPr="00DC26B8">
        <w:rPr>
          <w:b/>
          <w:bCs/>
        </w:rPr>
        <w:t>10 million claims worth US$2bn annually</w:t>
      </w:r>
      <w:r w:rsidRPr="00DC26B8">
        <w:t xml:space="preserve">, and connectivity with more than </w:t>
      </w:r>
      <w:r w:rsidRPr="00DC26B8">
        <w:rPr>
          <w:b/>
          <w:bCs/>
        </w:rPr>
        <w:t>6,000 hospitals</w:t>
      </w:r>
      <w:r w:rsidRPr="00DC26B8">
        <w:t xml:space="preserve">. These metrics are company reported. </w:t>
      </w:r>
      <w:hyperlink r:id="rId43" w:history="1">
        <w:r w:rsidRPr="00DC26B8">
          <w:rPr>
            <w:rStyle w:val="Hyperlink"/>
          </w:rPr>
          <w:t>[vitraya.com]</w:t>
        </w:r>
      </w:hyperlink>
    </w:p>
    <w:p w14:paraId="0861F7F6" w14:textId="77777777" w:rsidR="00DC26B8" w:rsidRPr="00DC26B8" w:rsidRDefault="00DC26B8" w:rsidP="00DC26B8">
      <w:r w:rsidRPr="00DC26B8">
        <w:t xml:space="preserve">Vitraya is private and VC-backed. Tracxn reports </w:t>
      </w:r>
      <w:r w:rsidRPr="00DC26B8">
        <w:rPr>
          <w:b/>
          <w:bCs/>
        </w:rPr>
        <w:t>US$12.8m total funding across six rounds</w:t>
      </w:r>
      <w:r w:rsidRPr="00DC26B8">
        <w:t xml:space="preserve">, while other databases identify only </w:t>
      </w:r>
      <w:r w:rsidRPr="00DC26B8">
        <w:rPr>
          <w:b/>
          <w:bCs/>
        </w:rPr>
        <w:t>US$6.5m–US$7m</w:t>
      </w:r>
      <w:r w:rsidRPr="00DC26B8">
        <w:t xml:space="preserve"> of announced rounds. The disclosed March 2023 Series A consortium invested </w:t>
      </w:r>
      <w:r w:rsidRPr="00DC26B8">
        <w:rPr>
          <w:b/>
          <w:bCs/>
        </w:rPr>
        <w:t>US$4.1m</w:t>
      </w:r>
      <w:r w:rsidRPr="00DC26B8">
        <w:t xml:space="preserve">, with investors including Xceedance, StartupXseed Ventures, Cactus Partners, Season Two Ventures and the Mankind Pharma family office. Funding totals should therefore be treated as </w:t>
      </w:r>
      <w:r w:rsidRPr="00DC26B8">
        <w:rPr>
          <w:b/>
          <w:bCs/>
        </w:rPr>
        <w:t>medium-confidence and database-dependent</w:t>
      </w:r>
      <w:r w:rsidRPr="00DC26B8">
        <w:t xml:space="preserve">. </w:t>
      </w:r>
      <w:hyperlink r:id="rId44" w:history="1">
        <w:r w:rsidRPr="00DC26B8">
          <w:rPr>
            <w:rStyle w:val="Hyperlink"/>
          </w:rPr>
          <w:t>[tracxn.com]</w:t>
        </w:r>
      </w:hyperlink>
      <w:r w:rsidRPr="00DC26B8">
        <w:t xml:space="preserve">, </w:t>
      </w:r>
      <w:hyperlink r:id="rId45" w:history="1">
        <w:r w:rsidRPr="00DC26B8">
          <w:rPr>
            <w:rStyle w:val="Hyperlink"/>
          </w:rPr>
          <w:t>[xceedance.com]</w:t>
        </w:r>
      </w:hyperlink>
      <w:r w:rsidRPr="00DC26B8">
        <w:t xml:space="preserve">, </w:t>
      </w:r>
      <w:hyperlink r:id="rId46" w:history="1">
        <w:r w:rsidRPr="00DC26B8">
          <w:rPr>
            <w:rStyle w:val="Hyperlink"/>
          </w:rPr>
          <w:t>[startupintros.com]</w:t>
        </w:r>
      </w:hyperlink>
    </w:p>
    <w:p w14:paraId="31724600" w14:textId="77777777" w:rsidR="00DC26B8" w:rsidRPr="00DC26B8" w:rsidRDefault="00DC26B8" w:rsidP="00DC26B8">
      <w:pPr>
        <w:rPr>
          <w:b/>
          <w:bCs/>
        </w:rPr>
      </w:pPr>
      <w:r w:rsidRPr="00DC26B8">
        <w:rPr>
          <w:b/>
          <w:bCs/>
        </w:rPr>
        <w:t>Waystar</w:t>
      </w:r>
    </w:p>
    <w:p w14:paraId="07F4393B" w14:textId="77777777" w:rsidR="00DC26B8" w:rsidRPr="00DC26B8" w:rsidRDefault="00DC26B8" w:rsidP="00DC26B8">
      <w:r w:rsidRPr="00DC26B8">
        <w:t xml:space="preserve">Waystar provides a broad cloud-based healthcare payments and revenue-cycle platform, including eligibility, authorization, claim submission, denial prevention, payment and analytics. Its competitive advantage is not a stand-alone PA model but an integrated data and workflow layer across the revenue cycle. FY2025 revenue was </w:t>
      </w:r>
      <w:r w:rsidRPr="00DC26B8">
        <w:rPr>
          <w:b/>
          <w:bCs/>
        </w:rPr>
        <w:t>US$1.099bn</w:t>
      </w:r>
      <w:r w:rsidRPr="00DC26B8">
        <w:t xml:space="preserve">, adjusted EBITDA was </w:t>
      </w:r>
      <w:r w:rsidRPr="00DC26B8">
        <w:rPr>
          <w:b/>
          <w:bCs/>
        </w:rPr>
        <w:t>US$462.1m</w:t>
      </w:r>
      <w:r w:rsidRPr="00DC26B8">
        <w:t xml:space="preserve">, and adjusted EBITDA margin was </w:t>
      </w:r>
      <w:r w:rsidRPr="00DC26B8">
        <w:rPr>
          <w:b/>
          <w:bCs/>
        </w:rPr>
        <w:t>42%</w:t>
      </w:r>
      <w:r w:rsidRPr="00DC26B8">
        <w:t xml:space="preserve">. </w:t>
      </w:r>
      <w:hyperlink r:id="rId47" w:history="1">
        <w:r w:rsidRPr="00DC26B8">
          <w:rPr>
            <w:rStyle w:val="Hyperlink"/>
          </w:rPr>
          <w:t>[waystar.com]</w:t>
        </w:r>
      </w:hyperlink>
    </w:p>
    <w:p w14:paraId="3F444DFF" w14:textId="77777777" w:rsidR="00DC26B8" w:rsidRPr="00DC26B8" w:rsidRDefault="00DC26B8" w:rsidP="00DC26B8">
      <w:r w:rsidRPr="00DC26B8">
        <w:t xml:space="preserve">Waystar is public, listed on Nasdaq as WAY, with legacy PE shareholders. As of 15 September 2026, Reuters reported that EQT remained the largest shareholder with approximately </w:t>
      </w:r>
      <w:r w:rsidRPr="00DC26B8">
        <w:rPr>
          <w:b/>
          <w:bCs/>
        </w:rPr>
        <w:t>13%</w:t>
      </w:r>
      <w:r w:rsidRPr="00DC26B8">
        <w:t xml:space="preserve">, followed by CPPIB with </w:t>
      </w:r>
      <w:r w:rsidRPr="00DC26B8">
        <w:rPr>
          <w:b/>
          <w:bCs/>
        </w:rPr>
        <w:t>10%</w:t>
      </w:r>
      <w:r w:rsidRPr="00DC26B8">
        <w:t xml:space="preserve">. Waystar was reportedly exploring strategic options, including a possible sale, but the process was early-stage and might not result in a transaction. </w:t>
      </w:r>
      <w:hyperlink r:id="rId48" w:history="1">
        <w:r w:rsidRPr="00DC26B8">
          <w:rPr>
            <w:rStyle w:val="Hyperlink"/>
          </w:rPr>
          <w:t>[reuters.com]</w:t>
        </w:r>
      </w:hyperlink>
    </w:p>
    <w:p w14:paraId="3A710701" w14:textId="77777777" w:rsidR="00DC26B8" w:rsidRPr="00DC26B8" w:rsidRDefault="00DC26B8" w:rsidP="00DC26B8">
      <w:pPr>
        <w:rPr>
          <w:b/>
          <w:bCs/>
        </w:rPr>
      </w:pPr>
      <w:r w:rsidRPr="00DC26B8">
        <w:rPr>
          <w:b/>
          <w:bCs/>
        </w:rPr>
        <w:t>Availity</w:t>
      </w:r>
    </w:p>
    <w:p w14:paraId="1D268343" w14:textId="77777777" w:rsidR="00DC26B8" w:rsidRPr="00DC26B8" w:rsidRDefault="00DC26B8" w:rsidP="00DC26B8">
      <w:r w:rsidRPr="00DC26B8">
        <w:t xml:space="preserve">Availity operates a multi-payer information network and clearinghouse connecting providers with health plans. Its authorization products let providers determine whether PA is required, submit requests and documentation, receive status updates and manage multiple payers through one workflow, including EHR-integrated and FHIR-based pathways. </w:t>
      </w:r>
      <w:hyperlink r:id="rId49" w:history="1">
        <w:r w:rsidRPr="00DC26B8">
          <w:rPr>
            <w:rStyle w:val="Hyperlink"/>
          </w:rPr>
          <w:t>[availity.com]</w:t>
        </w:r>
      </w:hyperlink>
    </w:p>
    <w:p w14:paraId="69866945" w14:textId="77777777" w:rsidR="00DC26B8" w:rsidRPr="00DC26B8" w:rsidRDefault="00DC26B8" w:rsidP="00DC26B8">
      <w:r w:rsidRPr="00DC26B8">
        <w:t xml:space="preserve">Availity is privately held by a strategic investor group including major health plans and Novo Holdings. In 2021, Novo acquired Francisco Partners’ minority stake. Public transaction </w:t>
      </w:r>
      <w:r w:rsidRPr="00DC26B8">
        <w:lastRenderedPageBreak/>
        <w:t xml:space="preserve">terms were not disclosed, although PE Hub reported an approximately </w:t>
      </w:r>
      <w:r w:rsidRPr="00DC26B8">
        <w:rPr>
          <w:b/>
          <w:bCs/>
        </w:rPr>
        <w:t>18% stake</w:t>
      </w:r>
      <w:r w:rsidRPr="00DC26B8">
        <w:t xml:space="preserve"> and a </w:t>
      </w:r>
      <w:r w:rsidRPr="00DC26B8">
        <w:rPr>
          <w:b/>
          <w:bCs/>
        </w:rPr>
        <w:t>US$1.7bn–US$1.8bn valuation</w:t>
      </w:r>
      <w:r w:rsidRPr="00DC26B8">
        <w:t xml:space="preserve">; those values are source-reported rather than company-confirmed. At the time, Availity connected more than </w:t>
      </w:r>
      <w:r w:rsidRPr="00DC26B8">
        <w:rPr>
          <w:b/>
          <w:bCs/>
        </w:rPr>
        <w:t>two million providers</w:t>
      </w:r>
      <w:r w:rsidRPr="00DC26B8">
        <w:t xml:space="preserve"> and processed more than </w:t>
      </w:r>
      <w:r w:rsidRPr="00DC26B8">
        <w:rPr>
          <w:b/>
          <w:bCs/>
        </w:rPr>
        <w:t>13 billion electronic transactions annually</w:t>
      </w:r>
      <w:r w:rsidRPr="00DC26B8">
        <w:t xml:space="preserve">. </w:t>
      </w:r>
      <w:hyperlink r:id="rId50" w:history="1">
        <w:r w:rsidRPr="00DC26B8">
          <w:rPr>
            <w:rStyle w:val="Hyperlink"/>
          </w:rPr>
          <w:t>[novoholdings.dk]</w:t>
        </w:r>
      </w:hyperlink>
      <w:r w:rsidRPr="00DC26B8">
        <w:t xml:space="preserve">, </w:t>
      </w:r>
      <w:hyperlink r:id="rId51" w:history="1">
        <w:r w:rsidRPr="00DC26B8">
          <w:rPr>
            <w:rStyle w:val="Hyperlink"/>
          </w:rPr>
          <w:t>[pehub.com]</w:t>
        </w:r>
      </w:hyperlink>
    </w:p>
    <w:p w14:paraId="6481644A" w14:textId="77777777" w:rsidR="00DC26B8" w:rsidRPr="00DC26B8" w:rsidRDefault="00DC26B8" w:rsidP="00DC26B8">
      <w:pPr>
        <w:rPr>
          <w:b/>
          <w:bCs/>
        </w:rPr>
      </w:pPr>
      <w:r w:rsidRPr="00DC26B8">
        <w:rPr>
          <w:b/>
          <w:bCs/>
        </w:rPr>
        <w:t>4. Porter's Five Forces</w:t>
      </w:r>
    </w:p>
    <w:p w14:paraId="52F15E1F" w14:textId="77777777" w:rsidR="00DC26B8" w:rsidRPr="00DC26B8" w:rsidRDefault="00DC26B8" w:rsidP="00DC26B8">
      <w:r w:rsidRPr="00DC26B8">
        <w:rPr>
          <w:b/>
          <w:bCs/>
        </w:rPr>
        <w:t>Scoring: 1 = weak force / favourable to incumbents; 5 = strong force / unfavourable. Scores are investment-analysis judgements based on the cited industry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725"/>
        <w:gridCol w:w="7006"/>
      </w:tblGrid>
      <w:tr w:rsidR="00DC26B8" w:rsidRPr="00DC26B8" w14:paraId="7C910AE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4B30A" w14:textId="77777777" w:rsidR="00DC26B8" w:rsidRPr="00DC26B8" w:rsidRDefault="00DC26B8" w:rsidP="00DC26B8">
            <w:pPr>
              <w:rPr>
                <w:b/>
                <w:bCs/>
              </w:rPr>
            </w:pPr>
            <w:r w:rsidRPr="00DC26B8">
              <w:rPr>
                <w:b/>
                <w:bCs/>
              </w:rPr>
              <w:t>Force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45500F" w14:textId="77777777" w:rsidR="00DC26B8" w:rsidRPr="00DC26B8" w:rsidRDefault="00DC26B8" w:rsidP="00DC26B8">
            <w:pPr>
              <w:rPr>
                <w:b/>
                <w:bCs/>
              </w:rPr>
            </w:pPr>
            <w:r w:rsidRPr="00DC26B8">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1D4FF4" w14:textId="77777777" w:rsidR="00DC26B8" w:rsidRPr="00DC26B8" w:rsidRDefault="00DC26B8" w:rsidP="00DC26B8">
            <w:pPr>
              <w:rPr>
                <w:b/>
                <w:bCs/>
              </w:rPr>
            </w:pPr>
            <w:r w:rsidRPr="00DC26B8">
              <w:rPr>
                <w:b/>
                <w:bCs/>
              </w:rPr>
              <w:t>Sub-sector-specific assessment</w:t>
            </w:r>
          </w:p>
        </w:tc>
      </w:tr>
      <w:tr w:rsidR="00DC26B8" w:rsidRPr="00DC26B8" w14:paraId="1B460D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BE96D" w14:textId="77777777" w:rsidR="00DC26B8" w:rsidRPr="00DC26B8" w:rsidRDefault="00DC26B8" w:rsidP="00DC26B8">
            <w:r w:rsidRPr="00DC26B8">
              <w:rPr>
                <w:b/>
                <w:bCs/>
              </w:rPr>
              <w:t>Competitive rivalry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6ECB6" w14:textId="77777777" w:rsidR="00DC26B8" w:rsidRPr="00DC26B8" w:rsidRDefault="00DC26B8" w:rsidP="00DC26B8">
            <w:r w:rsidRPr="00DC26B8">
              <w:rPr>
                <w:b/>
                <w:bCs/>
              </w:rPr>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3F476" w14:textId="77777777" w:rsidR="00DC26B8" w:rsidRPr="00DC26B8" w:rsidRDefault="00DC26B8" w:rsidP="00DC26B8">
            <w:r w:rsidRPr="00DC26B8">
              <w:t xml:space="preserve">Competition spans specialist vendors such as Cohere and Humata, scaled RCM platforms such as Waystar, R1 and Infinx, clearinghouses such as Availity, payer-owned technology and EHR-native tools. Product boundaries are converging as vendors expand from PA into utilization management, appeals, payment integrity and full RCM. Acquisition activity, including R1-Humata and Availity’s purchase of Olive’s payer-facing UM business, reinforces consolidation pressure. </w:t>
            </w:r>
            <w:hyperlink r:id="rId52" w:history="1">
              <w:r w:rsidRPr="00DC26B8">
                <w:rPr>
                  <w:rStyle w:val="Hyperlink"/>
                </w:rPr>
                <w:t>[r1rcm.com]</w:t>
              </w:r>
            </w:hyperlink>
            <w:r w:rsidRPr="00DC26B8">
              <w:t xml:space="preserve">, </w:t>
            </w:r>
            <w:hyperlink r:id="rId53" w:history="1">
              <w:r w:rsidRPr="00DC26B8">
                <w:rPr>
                  <w:rStyle w:val="Hyperlink"/>
                </w:rPr>
                <w:t>[prettybroo...rtners.com]</w:t>
              </w:r>
            </w:hyperlink>
          </w:p>
        </w:tc>
      </w:tr>
      <w:tr w:rsidR="00DC26B8" w:rsidRPr="00DC26B8" w14:paraId="758CF5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7C637C" w14:textId="77777777" w:rsidR="00DC26B8" w:rsidRPr="00DC26B8" w:rsidRDefault="00DC26B8" w:rsidP="00DC26B8">
            <w:r w:rsidRPr="00DC26B8">
              <w:rPr>
                <w:b/>
                <w:bCs/>
              </w:rPr>
              <w:t>Buyer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178B1" w14:textId="77777777" w:rsidR="00DC26B8" w:rsidRPr="00DC26B8" w:rsidRDefault="00DC26B8" w:rsidP="00DC26B8">
            <w:r w:rsidRPr="00DC26B8">
              <w:rPr>
                <w:b/>
                <w:bCs/>
              </w:rPr>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006AD" w14:textId="77777777" w:rsidR="00DC26B8" w:rsidRPr="00DC26B8" w:rsidRDefault="00DC26B8" w:rsidP="00DC26B8">
            <w:r w:rsidRPr="00DC26B8">
              <w:t>US buyers are concentrated national and regional payers or large health systems with lengthy procurement, security, integration and clinical-governance requirements. Multi-year workflow embedding raises switching costs after implementation, but initial buyers can demand pilots, outcome guarantees and pricing tied to transactions or savings. In India, insurers and TPAs control access to meaningful claims volumes, increasing buyer concentration.</w:t>
            </w:r>
          </w:p>
        </w:tc>
      </w:tr>
      <w:tr w:rsidR="00DC26B8" w:rsidRPr="00DC26B8" w14:paraId="014C3C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B933EE" w14:textId="77777777" w:rsidR="00DC26B8" w:rsidRPr="00DC26B8" w:rsidRDefault="00DC26B8" w:rsidP="00DC26B8">
            <w:r w:rsidRPr="00DC26B8">
              <w:rPr>
                <w:b/>
                <w:bCs/>
              </w:rPr>
              <w:t>Supplier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9FBB7" w14:textId="77777777" w:rsidR="00DC26B8" w:rsidRPr="00DC26B8" w:rsidRDefault="00DC26B8" w:rsidP="00DC26B8">
            <w:r w:rsidRPr="00DC26B8">
              <w:rPr>
                <w:b/>
                <w:bCs/>
              </w:rPr>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0A758B" w14:textId="77777777" w:rsidR="00DC26B8" w:rsidRPr="00DC26B8" w:rsidRDefault="00DC26B8" w:rsidP="00DC26B8">
            <w:r w:rsidRPr="00DC26B8">
              <w:t>Critical inputs include payer policies, provider clinical records, EHR access, clearinghouse connectivity, clinical guidelines and specialised claims staff. Cloud and foundation-model suppliers are replaceable, but proprietary payer connections and labelled adjudication histories are not. Vendors lacking access to high-quality policy and outcome data risk lower automation and higher exception-handling costs.</w:t>
            </w:r>
          </w:p>
        </w:tc>
      </w:tr>
      <w:tr w:rsidR="00DC26B8" w:rsidRPr="00DC26B8" w14:paraId="64D95E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A971ED" w14:textId="77777777" w:rsidR="00DC26B8" w:rsidRPr="00DC26B8" w:rsidRDefault="00DC26B8" w:rsidP="00DC26B8">
            <w:r w:rsidRPr="00DC26B8">
              <w:rPr>
                <w:b/>
                <w:bCs/>
              </w:rPr>
              <w:t>Threat of new entrants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486CF" w14:textId="77777777" w:rsidR="00DC26B8" w:rsidRPr="00DC26B8" w:rsidRDefault="00DC26B8" w:rsidP="00DC26B8">
            <w:r w:rsidRPr="00DC26B8">
              <w:rPr>
                <w:b/>
                <w:bCs/>
              </w:rPr>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34A637" w14:textId="77777777" w:rsidR="00DC26B8" w:rsidRPr="00DC26B8" w:rsidRDefault="00DC26B8" w:rsidP="00DC26B8">
            <w:r w:rsidRPr="00DC26B8">
              <w:t xml:space="preserve">Building an LLM interface is relatively easy; building reliable integrations across hundreds of payers, maintaining constantly changing rules, achieving HIPAA/DPDP compliance, winning </w:t>
            </w:r>
            <w:r w:rsidRPr="00DC26B8">
              <w:lastRenderedPageBreak/>
              <w:t xml:space="preserve">enterprise trust and creating auditable clinical-policy logic is difficult. CMS FHIR standardisation and India’s NHCX could lower integration barriers over time, potentially allowing new workflow entrants to bypass legacy portal connectivity. </w:t>
            </w:r>
            <w:hyperlink r:id="rId54" w:history="1">
              <w:r w:rsidRPr="00DC26B8">
                <w:rPr>
                  <w:rStyle w:val="Hyperlink"/>
                </w:rPr>
                <w:t>[cms.gov]</w:t>
              </w:r>
            </w:hyperlink>
            <w:r w:rsidRPr="00DC26B8">
              <w:t xml:space="preserve">, </w:t>
            </w:r>
            <w:hyperlink r:id="rId55" w:history="1">
              <w:r w:rsidRPr="00DC26B8">
                <w:rPr>
                  <w:rStyle w:val="Hyperlink"/>
                </w:rPr>
                <w:t>[hcxbeta.nha.gov.in]</w:t>
              </w:r>
            </w:hyperlink>
          </w:p>
        </w:tc>
      </w:tr>
      <w:tr w:rsidR="00DC26B8" w:rsidRPr="00DC26B8" w14:paraId="5899C6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18A6FE" w14:textId="77777777" w:rsidR="00DC26B8" w:rsidRPr="00DC26B8" w:rsidRDefault="00DC26B8" w:rsidP="00DC26B8">
            <w:r w:rsidRPr="00DC26B8">
              <w:rPr>
                <w:b/>
                <w:bCs/>
              </w:rPr>
              <w:lastRenderedPageBreak/>
              <w:t>Threat of substitutes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CB10EE" w14:textId="77777777" w:rsidR="00DC26B8" w:rsidRPr="00DC26B8" w:rsidRDefault="00DC26B8" w:rsidP="00DC26B8">
            <w:r w:rsidRPr="00DC26B8">
              <w:rPr>
                <w:b/>
                <w:bCs/>
              </w:rPr>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25D9" w14:textId="77777777" w:rsidR="00DC26B8" w:rsidRPr="00DC26B8" w:rsidRDefault="00DC26B8" w:rsidP="00DC26B8">
            <w:r w:rsidRPr="00DC26B8">
              <w:t>Substitutes include manual or outsourced PA teams, payer portals, rules engines, EHR-native workflows, clearinghouses and policy reform that removes PA for high-performing providers. Human processing remains necessary for ambiguous cases, but regulatory response-time requirements make an entirely manual model increasingly unattractive. Conversely, “gold-carding” or elimination of PA categories could reduce transaction volumes for vendors paid per authorization.</w:t>
            </w:r>
          </w:p>
        </w:tc>
      </w:tr>
    </w:tbl>
    <w:p w14:paraId="1E6D3E68" w14:textId="77777777" w:rsidR="00DC26B8" w:rsidRPr="00DC26B8" w:rsidRDefault="00DC26B8" w:rsidP="00DC26B8">
      <w:pPr>
        <w:rPr>
          <w:b/>
          <w:bCs/>
        </w:rPr>
      </w:pPr>
      <w:r w:rsidRPr="00DC26B8">
        <w:rPr>
          <w:b/>
          <w:bCs/>
        </w:rPr>
        <w:t>5. PE Firms Present, Stakes, and Strategic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4137"/>
        <w:gridCol w:w="3545"/>
      </w:tblGrid>
      <w:tr w:rsidR="00DC26B8" w:rsidRPr="00DC26B8" w14:paraId="007F97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FE6A2" w14:textId="77777777" w:rsidR="00DC26B8" w:rsidRPr="00DC26B8" w:rsidRDefault="00DC26B8" w:rsidP="00DC26B8">
            <w:pPr>
              <w:rPr>
                <w:b/>
                <w:bCs/>
              </w:rPr>
            </w:pPr>
            <w:r w:rsidRPr="00DC26B8">
              <w:rPr>
                <w:b/>
                <w:bCs/>
              </w:rPr>
              <w:t>Investor / asset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3FC04C" w14:textId="77777777" w:rsidR="00DC26B8" w:rsidRPr="00DC26B8" w:rsidRDefault="00DC26B8" w:rsidP="00DC26B8">
            <w:pPr>
              <w:rPr>
                <w:b/>
                <w:bCs/>
              </w:rPr>
            </w:pPr>
            <w:r w:rsidRPr="00DC26B8">
              <w:rPr>
                <w:b/>
                <w:bCs/>
              </w:rPr>
              <w:t>Deal details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10F94" w14:textId="77777777" w:rsidR="00DC26B8" w:rsidRPr="00DC26B8" w:rsidRDefault="00DC26B8" w:rsidP="00DC26B8">
            <w:pPr>
              <w:rPr>
                <w:b/>
                <w:bCs/>
              </w:rPr>
            </w:pPr>
            <w:r w:rsidRPr="00DC26B8">
              <w:rPr>
                <w:b/>
                <w:bCs/>
              </w:rPr>
              <w:t>Stated or inferred value-creation thesis</w:t>
            </w:r>
          </w:p>
        </w:tc>
      </w:tr>
      <w:tr w:rsidR="00DC26B8" w:rsidRPr="00DC26B8" w14:paraId="6154EF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D96C94" w14:textId="77777777" w:rsidR="00DC26B8" w:rsidRPr="00DC26B8" w:rsidRDefault="00DC26B8" w:rsidP="00DC26B8">
            <w:r w:rsidRPr="00DC26B8">
              <w:rPr>
                <w:b/>
                <w:bCs/>
              </w:rPr>
              <w:t>KKR / Infinx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741CE" w14:textId="77777777" w:rsidR="00DC26B8" w:rsidRPr="00DC26B8" w:rsidRDefault="00DC26B8" w:rsidP="00DC26B8">
            <w:r w:rsidRPr="00DC26B8">
              <w:t xml:space="preserve">Significant minority stake announced </w:t>
            </w:r>
            <w:r w:rsidRPr="00DC26B8">
              <w:rPr>
                <w:b/>
                <w:bCs/>
              </w:rPr>
              <w:t>21 May 2024</w:t>
            </w:r>
            <w:r w:rsidRPr="00DC26B8">
              <w:t xml:space="preserve"> through KKR Asian Fund IV. Official consideration and percentage were undisclosed; media reports cited approximately </w:t>
            </w:r>
            <w:r w:rsidRPr="00DC26B8">
              <w:rPr>
                <w:b/>
                <w:bCs/>
              </w:rPr>
              <w:t>US$150m–US$200m</w:t>
            </w:r>
            <w:r w:rsidRPr="00DC26B8">
              <w:t xml:space="preserve">. Norwest Venture Partners reinvested. </w:t>
            </w:r>
            <w:hyperlink r:id="rId56" w:history="1">
              <w:r w:rsidRPr="00DC26B8">
                <w:rPr>
                  <w:rStyle w:val="Hyperlink"/>
                </w:rPr>
                <w:t>[media.kkr.com]</w:t>
              </w:r>
            </w:hyperlink>
            <w:r w:rsidRPr="00DC26B8">
              <w:t xml:space="preserve">, </w:t>
            </w:r>
            <w:hyperlink r:id="rId57" w:history="1">
              <w:r w:rsidRPr="00DC26B8">
                <w:rPr>
                  <w:rStyle w:val="Hyperlink"/>
                </w:rPr>
                <w:t>[infinx.com]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4718D" w14:textId="77777777" w:rsidR="00DC26B8" w:rsidRPr="00DC26B8" w:rsidRDefault="00DC26B8" w:rsidP="00DC26B8">
            <w:r w:rsidRPr="00DC26B8">
              <w:rPr>
                <w:b/>
                <w:bCs/>
              </w:rPr>
              <w:t>Stated:</w:t>
            </w:r>
            <w:r w:rsidRPr="00DC26B8">
              <w:t xml:space="preserve"> accelerate growth, expand the customer network and support bolt-on acquisitions. </w:t>
            </w:r>
            <w:r w:rsidRPr="00DC26B8">
              <w:rPr>
                <w:b/>
                <w:bCs/>
              </w:rPr>
              <w:t>Inferred:</w:t>
            </w:r>
            <w:r w:rsidRPr="00DC26B8">
              <w:t xml:space="preserve"> combine lower-cost India delivery, AI automation and US provider distribution to expand margins while consolidating specialist RCM capabilities. The first three elements are supported by KKR’s announcement; the margin implication is an investment inference.</w:t>
            </w:r>
          </w:p>
        </w:tc>
      </w:tr>
      <w:tr w:rsidR="00DC26B8" w:rsidRPr="00DC26B8" w14:paraId="52498B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16A09" w14:textId="77777777" w:rsidR="00DC26B8" w:rsidRPr="00DC26B8" w:rsidRDefault="00DC26B8" w:rsidP="00DC26B8">
            <w:r w:rsidRPr="00DC26B8">
              <w:rPr>
                <w:b/>
                <w:bCs/>
              </w:rPr>
              <w:t xml:space="preserve">TowerBrook Capital Partners and </w:t>
            </w:r>
            <w:r w:rsidRPr="00DC26B8">
              <w:rPr>
                <w:b/>
                <w:bCs/>
              </w:rPr>
              <w:lastRenderedPageBreak/>
              <w:t>Clayton, Dubilier &amp; Rice / R1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D9B69" w14:textId="77777777" w:rsidR="00DC26B8" w:rsidRPr="00DC26B8" w:rsidRDefault="00DC26B8" w:rsidP="00DC26B8">
            <w:r w:rsidRPr="00DC26B8">
              <w:lastRenderedPageBreak/>
              <w:t xml:space="preserve">Completed R1 take-private on </w:t>
            </w:r>
            <w:r w:rsidRPr="00DC26B8">
              <w:rPr>
                <w:b/>
                <w:bCs/>
              </w:rPr>
              <w:t>19 November 2024</w:t>
            </w:r>
            <w:r w:rsidRPr="00DC26B8">
              <w:t xml:space="preserve"> at </w:t>
            </w:r>
            <w:r w:rsidRPr="00DC26B8">
              <w:rPr>
                <w:b/>
                <w:bCs/>
              </w:rPr>
              <w:t xml:space="preserve">US$14.30 per </w:t>
            </w:r>
            <w:r w:rsidRPr="00DC26B8">
              <w:rPr>
                <w:b/>
                <w:bCs/>
              </w:rPr>
              <w:lastRenderedPageBreak/>
              <w:t>share</w:t>
            </w:r>
            <w:r w:rsidRPr="00DC26B8">
              <w:t xml:space="preserve">, valuing R1 at approximately </w:t>
            </w:r>
            <w:r w:rsidRPr="00DC26B8">
              <w:rPr>
                <w:b/>
                <w:bCs/>
              </w:rPr>
              <w:t>US$8.9bn</w:t>
            </w:r>
            <w:r w:rsidRPr="00DC26B8">
              <w:t xml:space="preserve">. </w:t>
            </w:r>
            <w:hyperlink r:id="rId58" w:history="1">
              <w:r w:rsidRPr="00DC26B8">
                <w:rPr>
                  <w:rStyle w:val="Hyperlink"/>
                </w:rPr>
                <w:t>[r1rcm.com]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FD134" w14:textId="77777777" w:rsidR="00DC26B8" w:rsidRPr="00DC26B8" w:rsidRDefault="00DC26B8" w:rsidP="00DC26B8">
            <w:r w:rsidRPr="00DC26B8">
              <w:rPr>
                <w:b/>
                <w:bCs/>
              </w:rPr>
              <w:lastRenderedPageBreak/>
              <w:t>Stated:</w:t>
            </w:r>
            <w:r w:rsidRPr="00DC26B8">
              <w:t xml:space="preserve"> expand intelligent automation and drive customer value. </w:t>
            </w:r>
            <w:r w:rsidRPr="00DC26B8">
              <w:rPr>
                <w:b/>
                <w:bCs/>
              </w:rPr>
              <w:t>Strategic follow-through:</w:t>
            </w:r>
            <w:r w:rsidRPr="00DC26B8">
              <w:t xml:space="preserve"> </w:t>
            </w:r>
            <w:r w:rsidRPr="00DC26B8">
              <w:lastRenderedPageBreak/>
              <w:t xml:space="preserve">R1 agreed to acquire Humata in August 2026 to embed AI-powered PA into Phare OS, move intervention earlier in the revenue cycle and support closer payer-provider collaboration. Humata consideration was undisclosed. </w:t>
            </w:r>
            <w:hyperlink r:id="rId59" w:history="1">
              <w:r w:rsidRPr="00DC26B8">
                <w:rPr>
                  <w:rStyle w:val="Hyperlink"/>
                </w:rPr>
                <w:t>[r1rcm.com]</w:t>
              </w:r>
            </w:hyperlink>
          </w:p>
        </w:tc>
      </w:tr>
      <w:tr w:rsidR="00DC26B8" w:rsidRPr="00DC26B8" w14:paraId="517F03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742F99" w14:textId="77777777" w:rsidR="00DC26B8" w:rsidRPr="00DC26B8" w:rsidRDefault="00DC26B8" w:rsidP="00DC26B8">
            <w:r w:rsidRPr="00DC26B8">
              <w:rPr>
                <w:b/>
                <w:bCs/>
              </w:rPr>
              <w:lastRenderedPageBreak/>
              <w:t>EQT, CPPIB and Bain Capital / Waystar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2DEFF" w14:textId="77777777" w:rsidR="00DC26B8" w:rsidRPr="00DC26B8" w:rsidRDefault="00DC26B8" w:rsidP="00DC26B8">
            <w:r w:rsidRPr="00DC26B8">
              <w:t xml:space="preserve">EQT and CPPIB acquired a majority stake in 2019 in a transaction valuing Waystar at </w:t>
            </w:r>
            <w:r w:rsidRPr="00DC26B8">
              <w:rPr>
                <w:b/>
                <w:bCs/>
              </w:rPr>
              <w:t>US$2.7bn</w:t>
            </w:r>
            <w:r w:rsidRPr="00DC26B8">
              <w:t xml:space="preserve">; Bain retained a minority. Waystar listed publicly in June 2024. As of 15 September 2026, Reuters reported EQT at approximately </w:t>
            </w:r>
            <w:r w:rsidRPr="00DC26B8">
              <w:rPr>
                <w:b/>
                <w:bCs/>
              </w:rPr>
              <w:t>13% ownership</w:t>
            </w:r>
            <w:r w:rsidRPr="00DC26B8">
              <w:t xml:space="preserve"> and CPPIB at </w:t>
            </w:r>
            <w:r w:rsidRPr="00DC26B8">
              <w:rPr>
                <w:b/>
                <w:bCs/>
              </w:rPr>
              <w:t>10%</w:t>
            </w:r>
            <w:r w:rsidRPr="00DC26B8">
              <w:t xml:space="preserve">. </w:t>
            </w:r>
            <w:hyperlink r:id="rId60" w:history="1">
              <w:r w:rsidRPr="00DC26B8">
                <w:rPr>
                  <w:rStyle w:val="Hyperlink"/>
                </w:rPr>
                <w:t>[prnewswire.com]</w:t>
              </w:r>
            </w:hyperlink>
            <w:r w:rsidRPr="00DC26B8">
              <w:t xml:space="preserve">, </w:t>
            </w:r>
            <w:hyperlink r:id="rId61" w:history="1">
              <w:r w:rsidRPr="00DC26B8">
                <w:rPr>
                  <w:rStyle w:val="Hyperlink"/>
                </w:rPr>
                <w:t>[reuters.com]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18B05" w14:textId="77777777" w:rsidR="00DC26B8" w:rsidRPr="00DC26B8" w:rsidRDefault="00DC26B8" w:rsidP="00DC26B8">
            <w:r w:rsidRPr="00DC26B8">
              <w:rPr>
                <w:b/>
                <w:bCs/>
              </w:rPr>
              <w:t>Stated:</w:t>
            </w:r>
            <w:r w:rsidRPr="00DC26B8">
              <w:t xml:space="preserve"> fund product innovation, strengthen the unified RCM platform and pursue transformative M&amp;A. This thesis is visible in Waystar’s expansion into AI-powered clinical and payment workflows. Its FY2025 </w:t>
            </w:r>
            <w:r w:rsidRPr="00DC26B8">
              <w:rPr>
                <w:b/>
                <w:bCs/>
              </w:rPr>
              <w:t>42% adjusted EBITDA margin</w:t>
            </w:r>
            <w:r w:rsidRPr="00DC26B8">
              <w:t xml:space="preserve"> demonstrates that scaled workflow software can support PE-grade profitability, although prior auth is only one product area. </w:t>
            </w:r>
            <w:hyperlink r:id="rId62" w:history="1">
              <w:r w:rsidRPr="00DC26B8">
                <w:rPr>
                  <w:rStyle w:val="Hyperlink"/>
                </w:rPr>
                <w:t>[waystar.com]</w:t>
              </w:r>
            </w:hyperlink>
          </w:p>
        </w:tc>
      </w:tr>
      <w:tr w:rsidR="00DC26B8" w:rsidRPr="00DC26B8" w14:paraId="796FE6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2FC15" w14:textId="77777777" w:rsidR="00DC26B8" w:rsidRPr="00DC26B8" w:rsidRDefault="00DC26B8" w:rsidP="00DC26B8">
            <w:r w:rsidRPr="00DC26B8">
              <w:rPr>
                <w:b/>
                <w:bCs/>
              </w:rPr>
              <w:t>Francisco Partners and Novo Holdings / Availity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D6661" w14:textId="77777777" w:rsidR="00DC26B8" w:rsidRPr="00DC26B8" w:rsidRDefault="00DC26B8" w:rsidP="00DC26B8">
            <w:r w:rsidRPr="00DC26B8">
              <w:t xml:space="preserve">Francisco sold its minority stake to Novo in July 2021. Terms were officially undisclosed; PE Hub reported approximately </w:t>
            </w:r>
            <w:r w:rsidRPr="00DC26B8">
              <w:rPr>
                <w:b/>
                <w:bCs/>
              </w:rPr>
              <w:t>18% ownership</w:t>
            </w:r>
            <w:r w:rsidRPr="00DC26B8">
              <w:t xml:space="preserve"> and a </w:t>
            </w:r>
            <w:r w:rsidRPr="00DC26B8">
              <w:rPr>
                <w:b/>
                <w:bCs/>
              </w:rPr>
              <w:t>US$1.7bn–US$1.8bn enterprise valuation</w:t>
            </w:r>
            <w:r w:rsidRPr="00DC26B8">
              <w:t xml:space="preserve">. </w:t>
            </w:r>
            <w:hyperlink r:id="rId63" w:history="1">
              <w:r w:rsidRPr="00DC26B8">
                <w:rPr>
                  <w:rStyle w:val="Hyperlink"/>
                </w:rPr>
                <w:t>[franciscop...rtners.com]</w:t>
              </w:r>
            </w:hyperlink>
            <w:r w:rsidRPr="00DC26B8">
              <w:t xml:space="preserve">, </w:t>
            </w:r>
            <w:hyperlink r:id="rId64" w:history="1">
              <w:r w:rsidRPr="00DC26B8">
                <w:rPr>
                  <w:rStyle w:val="Hyperlink"/>
                </w:rPr>
                <w:t>[pehub.com]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D6C48" w14:textId="77777777" w:rsidR="00DC26B8" w:rsidRPr="00DC26B8" w:rsidRDefault="00DC26B8" w:rsidP="00DC26B8">
            <w:r w:rsidRPr="00DC26B8">
              <w:t xml:space="preserve">Francisco’s stated focus was scaling Availity’s network and customer base. Novo’s stated thesis is long-term payer-provider collaboration, reduced administrative waste and further capital deployment into healthcare IT. The strategic asset is the network and transaction layer, which can distribute PA automation across a large installed base. </w:t>
            </w:r>
            <w:hyperlink r:id="rId65" w:history="1">
              <w:r w:rsidRPr="00DC26B8">
                <w:rPr>
                  <w:rStyle w:val="Hyperlink"/>
                </w:rPr>
                <w:t>[novoholdings.dk]</w:t>
              </w:r>
            </w:hyperlink>
            <w:r w:rsidRPr="00DC26B8">
              <w:t xml:space="preserve">, </w:t>
            </w:r>
            <w:hyperlink r:id="rId66" w:history="1">
              <w:r w:rsidRPr="00DC26B8">
                <w:rPr>
                  <w:rStyle w:val="Hyperlink"/>
                </w:rPr>
                <w:t>[novoholdings.dk]</w:t>
              </w:r>
            </w:hyperlink>
          </w:p>
        </w:tc>
      </w:tr>
    </w:tbl>
    <w:p w14:paraId="54DFA093" w14:textId="77777777" w:rsidR="00DC26B8" w:rsidRPr="00DC26B8" w:rsidRDefault="00DC26B8" w:rsidP="00DC26B8">
      <w:pPr>
        <w:rPr>
          <w:b/>
          <w:bCs/>
        </w:rPr>
      </w:pPr>
      <w:r w:rsidRPr="00DC26B8">
        <w:rPr>
          <w:b/>
          <w:bCs/>
        </w:rPr>
        <w:lastRenderedPageBreak/>
        <w:t>6. Regulatory Context (US + India)</w:t>
      </w:r>
    </w:p>
    <w:p w14:paraId="22200417" w14:textId="77777777" w:rsidR="00DC26B8" w:rsidRPr="00DC26B8" w:rsidRDefault="00DC26B8" w:rsidP="00DC26B8">
      <w:pPr>
        <w:rPr>
          <w:b/>
          <w:bCs/>
        </w:rPr>
      </w:pPr>
      <w:r w:rsidRPr="00DC26B8">
        <w:rPr>
          <w:b/>
          <w:bCs/>
        </w:rPr>
        <w:t>United States</w:t>
      </w:r>
    </w:p>
    <w:p w14:paraId="4149B448" w14:textId="77777777" w:rsidR="00DC26B8" w:rsidRPr="00DC26B8" w:rsidRDefault="00DC26B8" w:rsidP="00DC26B8">
      <w:pPr>
        <w:numPr>
          <w:ilvl w:val="0"/>
          <w:numId w:val="2"/>
        </w:numPr>
      </w:pPr>
      <w:r w:rsidRPr="00DC26B8">
        <w:rPr>
          <w:b/>
          <w:bCs/>
        </w:rPr>
        <w:t>CMS-0057-F:</w:t>
      </w:r>
      <w:r w:rsidRPr="00DC26B8">
        <w:t xml:space="preserve"> Impacted Medicare Advantage, Medicaid, CHIP and federally facilitated exchange payers must provide expedited PA decisions within </w:t>
      </w:r>
      <w:r w:rsidRPr="00DC26B8">
        <w:rPr>
          <w:b/>
          <w:bCs/>
        </w:rPr>
        <w:t>72 hours</w:t>
      </w:r>
      <w:r w:rsidRPr="00DC26B8">
        <w:t xml:space="preserve"> and standard decisions within </w:t>
      </w:r>
      <w:r w:rsidRPr="00DC26B8">
        <w:rPr>
          <w:b/>
          <w:bCs/>
        </w:rPr>
        <w:t>seven calendar days</w:t>
      </w:r>
      <w:r w:rsidRPr="00DC26B8">
        <w:t xml:space="preserve"> from 1 January 2026. Most required FHIR-based interoperability APIs, including the Prior Authorization API, are due by </w:t>
      </w:r>
      <w:r w:rsidRPr="00DC26B8">
        <w:rPr>
          <w:b/>
          <w:bCs/>
        </w:rPr>
        <w:t>1 January 2027</w:t>
      </w:r>
      <w:r w:rsidRPr="00DC26B8">
        <w:t xml:space="preserve">. The rule does not apply universally to all employer-sponsored or commercial plans. </w:t>
      </w:r>
      <w:hyperlink r:id="rId67" w:history="1">
        <w:r w:rsidRPr="00DC26B8">
          <w:rPr>
            <w:rStyle w:val="Hyperlink"/>
          </w:rPr>
          <w:t>[cms.gov]</w:t>
        </w:r>
      </w:hyperlink>
      <w:r w:rsidRPr="00DC26B8">
        <w:t xml:space="preserve">, </w:t>
      </w:r>
      <w:hyperlink r:id="rId68" w:history="1">
        <w:r w:rsidRPr="00DC26B8">
          <w:rPr>
            <w:rStyle w:val="Hyperlink"/>
          </w:rPr>
          <w:t>[linear.health]</w:t>
        </w:r>
      </w:hyperlink>
    </w:p>
    <w:p w14:paraId="43960466" w14:textId="77777777" w:rsidR="00DC26B8" w:rsidRPr="00DC26B8" w:rsidRDefault="00DC26B8" w:rsidP="00DC26B8">
      <w:pPr>
        <w:numPr>
          <w:ilvl w:val="0"/>
          <w:numId w:val="2"/>
        </w:numPr>
      </w:pPr>
      <w:r w:rsidRPr="00DC26B8">
        <w:rPr>
          <w:b/>
          <w:bCs/>
        </w:rPr>
        <w:t>Transparency requirements:</w:t>
      </w:r>
      <w:r w:rsidRPr="00DC26B8">
        <w:t xml:space="preserve"> Impacted payers must provide specific denial reasons and publicly report PA metrics. This creates both a compliance-driven software budget and a measurable performance dataset that vendors can use for benchmarking and ROI validation. </w:t>
      </w:r>
      <w:hyperlink r:id="rId69" w:history="1">
        <w:r w:rsidRPr="00DC26B8">
          <w:rPr>
            <w:rStyle w:val="Hyperlink"/>
          </w:rPr>
          <w:t>[cms.gov]</w:t>
        </w:r>
      </w:hyperlink>
      <w:r w:rsidRPr="00DC26B8">
        <w:t xml:space="preserve">, </w:t>
      </w:r>
      <w:hyperlink r:id="rId70" w:history="1">
        <w:r w:rsidRPr="00DC26B8">
          <w:rPr>
            <w:rStyle w:val="Hyperlink"/>
          </w:rPr>
          <w:t>[linear.health]</w:t>
        </w:r>
      </w:hyperlink>
    </w:p>
    <w:p w14:paraId="6D339984" w14:textId="77777777" w:rsidR="00DC26B8" w:rsidRPr="00DC26B8" w:rsidRDefault="00DC26B8" w:rsidP="00DC26B8">
      <w:pPr>
        <w:numPr>
          <w:ilvl w:val="0"/>
          <w:numId w:val="2"/>
        </w:numPr>
      </w:pPr>
      <w:r w:rsidRPr="00DC26B8">
        <w:rPr>
          <w:b/>
          <w:bCs/>
        </w:rPr>
        <w:t>2026 proposed drug rule:</w:t>
      </w:r>
      <w:r w:rsidRPr="00DC26B8">
        <w:t xml:space="preserve"> CMS-0062-P proposes extending electronic PA, shorter decision periods, transparency and updated FHIR standards to drugs. The public comment period closed </w:t>
      </w:r>
      <w:r w:rsidRPr="00DC26B8">
        <w:rPr>
          <w:b/>
          <w:bCs/>
        </w:rPr>
        <w:t>15 June 2026</w:t>
      </w:r>
      <w:r w:rsidRPr="00DC26B8">
        <w:t xml:space="preserve">; as of the cited CMS update, this remained a proposed rule rather than a final mandate. </w:t>
      </w:r>
      <w:hyperlink r:id="rId71" w:history="1">
        <w:r w:rsidRPr="00DC26B8">
          <w:rPr>
            <w:rStyle w:val="Hyperlink"/>
          </w:rPr>
          <w:t>[cms.gov]</w:t>
        </w:r>
      </w:hyperlink>
    </w:p>
    <w:p w14:paraId="6F953C56" w14:textId="77777777" w:rsidR="00DC26B8" w:rsidRPr="00DC26B8" w:rsidRDefault="00DC26B8" w:rsidP="00DC26B8">
      <w:pPr>
        <w:numPr>
          <w:ilvl w:val="0"/>
          <w:numId w:val="2"/>
        </w:numPr>
      </w:pPr>
      <w:r w:rsidRPr="00DC26B8">
        <w:rPr>
          <w:b/>
          <w:bCs/>
        </w:rPr>
        <w:t>HIPAA and interoperability:</w:t>
      </w:r>
      <w:r w:rsidRPr="00DC26B8">
        <w:t xml:space="preserve"> Vendors handling protected health information are subject to HIPAA privacy and security obligations. The FHIR-based PA workflow also intersects with HIPAA Administrative Simplification standards; CMS has described enforcement discretion relating to use of X12 278 within qualifying FHIR PA implementations. </w:t>
      </w:r>
      <w:hyperlink r:id="rId72" w:history="1">
        <w:r w:rsidRPr="00DC26B8">
          <w:rPr>
            <w:rStyle w:val="Hyperlink"/>
          </w:rPr>
          <w:t>[cms.gov]</w:t>
        </w:r>
      </w:hyperlink>
    </w:p>
    <w:p w14:paraId="4B3891EC" w14:textId="77777777" w:rsidR="00DC26B8" w:rsidRPr="00DC26B8" w:rsidRDefault="00DC26B8" w:rsidP="00DC26B8">
      <w:pPr>
        <w:numPr>
          <w:ilvl w:val="0"/>
          <w:numId w:val="2"/>
        </w:numPr>
      </w:pPr>
      <w:r w:rsidRPr="00DC26B8">
        <w:rPr>
          <w:b/>
          <w:bCs/>
        </w:rPr>
        <w:t>FDA:</w:t>
      </w:r>
      <w:r w:rsidRPr="00DC26B8">
        <w:t xml:space="preserve"> Most administrative PA tools are not medical devices. If a product independently influences diagnosis or treatment, processes medical images or signals, or prevents clinicians from independently reviewing its recommendation basis, FDA device oversight may apply under the January 2026 CDS guidance. </w:t>
      </w:r>
      <w:hyperlink r:id="rId73" w:history="1">
        <w:r w:rsidRPr="00DC26B8">
          <w:rPr>
            <w:rStyle w:val="Hyperlink"/>
          </w:rPr>
          <w:t>[fda.gov]</w:t>
        </w:r>
      </w:hyperlink>
      <w:r w:rsidRPr="00DC26B8">
        <w:t xml:space="preserve">, </w:t>
      </w:r>
      <w:hyperlink r:id="rId74" w:history="1">
        <w:r w:rsidRPr="00DC26B8">
          <w:rPr>
            <w:rStyle w:val="Hyperlink"/>
          </w:rPr>
          <w:t>[fda.gov]</w:t>
        </w:r>
      </w:hyperlink>
    </w:p>
    <w:p w14:paraId="5442ED1D" w14:textId="77777777" w:rsidR="00DC26B8" w:rsidRPr="00DC26B8" w:rsidRDefault="00DC26B8" w:rsidP="00DC26B8">
      <w:pPr>
        <w:rPr>
          <w:b/>
          <w:bCs/>
        </w:rPr>
      </w:pPr>
      <w:r w:rsidRPr="00DC26B8">
        <w:rPr>
          <w:b/>
          <w:bCs/>
        </w:rPr>
        <w:t>India</w:t>
      </w:r>
    </w:p>
    <w:p w14:paraId="268F5E55" w14:textId="77777777" w:rsidR="00DC26B8" w:rsidRPr="00DC26B8" w:rsidRDefault="00DC26B8" w:rsidP="00DC26B8">
      <w:pPr>
        <w:numPr>
          <w:ilvl w:val="0"/>
          <w:numId w:val="3"/>
        </w:numPr>
      </w:pPr>
      <w:r w:rsidRPr="00DC26B8">
        <w:rPr>
          <w:b/>
          <w:bCs/>
        </w:rPr>
        <w:lastRenderedPageBreak/>
        <w:t>IRDAI cashless timelines:</w:t>
      </w:r>
      <w:r w:rsidRPr="00DC26B8">
        <w:t xml:space="preserve"> Under the 2024 Master Circular on Health Insurance Business, insurers must decide cashless pre-authorisation within </w:t>
      </w:r>
      <w:r w:rsidRPr="00DC26B8">
        <w:rPr>
          <w:b/>
          <w:bCs/>
        </w:rPr>
        <w:t>one hour</w:t>
      </w:r>
      <w:r w:rsidRPr="00DC26B8">
        <w:t xml:space="preserve"> and final discharge authorization within </w:t>
      </w:r>
      <w:r w:rsidRPr="00DC26B8">
        <w:rPr>
          <w:b/>
          <w:bCs/>
        </w:rPr>
        <w:t>three hours</w:t>
      </w:r>
      <w:r w:rsidRPr="00DC26B8">
        <w:t xml:space="preserve"> after complete requests are received. Between 1 August 2024 and 31 May 2025, </w:t>
      </w:r>
      <w:r w:rsidRPr="00DC26B8">
        <w:rPr>
          <w:b/>
          <w:bCs/>
        </w:rPr>
        <w:t>86.88% of 6,371,620 pre-authorisation requests</w:t>
      </w:r>
      <w:r w:rsidRPr="00DC26B8">
        <w:t xml:space="preserve"> were processed within one hour, and </w:t>
      </w:r>
      <w:r w:rsidRPr="00DC26B8">
        <w:rPr>
          <w:b/>
          <w:bCs/>
        </w:rPr>
        <w:t>96.69% of 5,680,998 final-authorisation requests</w:t>
      </w:r>
      <w:r w:rsidRPr="00DC26B8">
        <w:t xml:space="preserve"> were processed within three hours. These are system-wide processing figures, not AI-attributable outcomes. </w:t>
      </w:r>
      <w:hyperlink r:id="rId75" w:history="1">
        <w:r w:rsidRPr="00DC26B8">
          <w:rPr>
            <w:rStyle w:val="Hyperlink"/>
          </w:rPr>
          <w:t>[angelone.in]</w:t>
        </w:r>
      </w:hyperlink>
    </w:p>
    <w:p w14:paraId="6522B2D3" w14:textId="77777777" w:rsidR="00DC26B8" w:rsidRPr="00DC26B8" w:rsidRDefault="00DC26B8" w:rsidP="00DC26B8">
      <w:pPr>
        <w:numPr>
          <w:ilvl w:val="0"/>
          <w:numId w:val="3"/>
        </w:numPr>
      </w:pPr>
      <w:r w:rsidRPr="00DC26B8">
        <w:rPr>
          <w:b/>
          <w:bCs/>
        </w:rPr>
        <w:t>NHCX:</w:t>
      </w:r>
      <w:r w:rsidRPr="00DC26B8">
        <w:t xml:space="preserve"> The National Health Claims Exchange, developed under ABDM by the National Health Authority in consultation with IRDAI, uses FHIR standards to create machine-readable, auditable exchange among providers, payers and beneficiaries. The official NHCX site characterises India’s current claims process as predominantly manual, non-digital and dependent on unstructured data. </w:t>
      </w:r>
      <w:hyperlink r:id="rId76" w:history="1">
        <w:r w:rsidRPr="00DC26B8">
          <w:rPr>
            <w:rStyle w:val="Hyperlink"/>
          </w:rPr>
          <w:t>[hcxbeta.nha.gov.in]</w:t>
        </w:r>
      </w:hyperlink>
    </w:p>
    <w:p w14:paraId="7F334195" w14:textId="77777777" w:rsidR="00DC26B8" w:rsidRPr="00DC26B8" w:rsidRDefault="00DC26B8" w:rsidP="00DC26B8">
      <w:pPr>
        <w:numPr>
          <w:ilvl w:val="0"/>
          <w:numId w:val="3"/>
        </w:numPr>
      </w:pPr>
      <w:r w:rsidRPr="00DC26B8">
        <w:rPr>
          <w:b/>
          <w:bCs/>
        </w:rPr>
        <w:t>2026 implementation signal:</w:t>
      </w:r>
      <w:r w:rsidRPr="00DC26B8">
        <w:t xml:space="preserve"> The March 2026 NHCX Innovation Meet announced early integrators and demonstrated tools for eligibility, pre-authorisation, claims, clinical-document conversion and misuse detection. This indicates active ecosystem development, but the public source does not establish nationwide production adoption. </w:t>
      </w:r>
      <w:hyperlink r:id="rId77" w:history="1">
        <w:r w:rsidRPr="00DC26B8">
          <w:rPr>
            <w:rStyle w:val="Hyperlink"/>
          </w:rPr>
          <w:t>[pib.gov.in]</w:t>
        </w:r>
      </w:hyperlink>
    </w:p>
    <w:p w14:paraId="6C67F7C6" w14:textId="77777777" w:rsidR="00DC26B8" w:rsidRPr="00DC26B8" w:rsidRDefault="00DC26B8" w:rsidP="00DC26B8">
      <w:pPr>
        <w:numPr>
          <w:ilvl w:val="0"/>
          <w:numId w:val="3"/>
        </w:numPr>
      </w:pPr>
      <w:r w:rsidRPr="00DC26B8">
        <w:rPr>
          <w:b/>
          <w:bCs/>
        </w:rPr>
        <w:t>CDSCO:</w:t>
      </w:r>
      <w:r w:rsidRPr="00DC26B8">
        <w:t xml:space="preserve"> Software performing diagnosis, monitoring or treatment functions can fall under the Medical Devices Rules, 2017. Administrative, billing, general communication and non-clinical data-management software remains outside the medical-device scope. </w:t>
      </w:r>
      <w:hyperlink r:id="rId78" w:history="1">
        <w:r w:rsidRPr="00DC26B8">
          <w:rPr>
            <w:rStyle w:val="Hyperlink"/>
          </w:rPr>
          <w:t>[acplgroupindia.co.in]</w:t>
        </w:r>
      </w:hyperlink>
      <w:r w:rsidRPr="00DC26B8">
        <w:t xml:space="preserve">, </w:t>
      </w:r>
      <w:hyperlink r:id="rId79" w:history="1">
        <w:r w:rsidRPr="00DC26B8">
          <w:rPr>
            <w:rStyle w:val="Hyperlink"/>
          </w:rPr>
          <w:t>[cdsco.gov.in]</w:t>
        </w:r>
      </w:hyperlink>
    </w:p>
    <w:p w14:paraId="6B995080" w14:textId="77777777" w:rsidR="00DC26B8" w:rsidRPr="00DC26B8" w:rsidRDefault="00DC26B8" w:rsidP="00DC26B8">
      <w:pPr>
        <w:numPr>
          <w:ilvl w:val="0"/>
          <w:numId w:val="3"/>
        </w:numPr>
      </w:pPr>
      <w:r w:rsidRPr="00DC26B8">
        <w:rPr>
          <w:b/>
          <w:bCs/>
        </w:rPr>
        <w:t>Data protection:</w:t>
      </w:r>
      <w:r w:rsidRPr="00DC26B8">
        <w:t xml:space="preserve"> AI claims platforms process sensitive health and identity data and therefore need architectures compatible with India’s data-protection regime, consent requirements and ABDM exchange specifications. The exact operational impact depends on implementing rules, contractual roles and whether processing is conducted by the insurer, TPA, hospital or technology processor.</w:t>
      </w:r>
    </w:p>
    <w:p w14:paraId="73B23C27" w14:textId="77777777" w:rsidR="00DC26B8" w:rsidRPr="00DC26B8" w:rsidRDefault="00DC26B8" w:rsidP="00DC26B8">
      <w:pPr>
        <w:rPr>
          <w:b/>
          <w:bCs/>
        </w:rPr>
      </w:pPr>
      <w:r w:rsidRPr="00DC26B8">
        <w:rPr>
          <w:b/>
          <w:bCs/>
        </w:rPr>
        <w:t>7. Risk Factors</w:t>
      </w:r>
    </w:p>
    <w:p w14:paraId="17BA958A" w14:textId="77777777" w:rsidR="00DC26B8" w:rsidRPr="00DC26B8" w:rsidRDefault="00DC26B8" w:rsidP="00DC26B8">
      <w:pPr>
        <w:numPr>
          <w:ilvl w:val="0"/>
          <w:numId w:val="4"/>
        </w:numPr>
      </w:pPr>
      <w:r w:rsidRPr="00DC26B8">
        <w:rPr>
          <w:b/>
          <w:bCs/>
        </w:rPr>
        <w:t>Regulation could compress the workflow rather than enlarge vendor economics.</w:t>
      </w:r>
      <w:r w:rsidRPr="00DC26B8">
        <w:t xml:space="preserve"> FHIR APIs and NHCX standardisation create demand today, but over time they may commoditise basic connectivity and submission. Vendors that earn premium pricing merely for portal integration could face declining differentiation once payer policies and transaction pathways become machine-readable. </w:t>
      </w:r>
      <w:hyperlink r:id="rId80" w:history="1">
        <w:r w:rsidRPr="00DC26B8">
          <w:rPr>
            <w:rStyle w:val="Hyperlink"/>
          </w:rPr>
          <w:t>[cms.gov]</w:t>
        </w:r>
      </w:hyperlink>
      <w:r w:rsidRPr="00DC26B8">
        <w:t xml:space="preserve">, </w:t>
      </w:r>
      <w:hyperlink r:id="rId81" w:history="1">
        <w:r w:rsidRPr="00DC26B8">
          <w:rPr>
            <w:rStyle w:val="Hyperlink"/>
          </w:rPr>
          <w:t>[hcxbeta.nha.gov.in]</w:t>
        </w:r>
      </w:hyperlink>
    </w:p>
    <w:p w14:paraId="6C077BDD" w14:textId="77777777" w:rsidR="00DC26B8" w:rsidRPr="00DC26B8" w:rsidRDefault="00DC26B8" w:rsidP="00DC26B8">
      <w:pPr>
        <w:numPr>
          <w:ilvl w:val="0"/>
          <w:numId w:val="4"/>
        </w:numPr>
      </w:pPr>
      <w:r w:rsidRPr="00DC26B8">
        <w:rPr>
          <w:b/>
          <w:bCs/>
        </w:rPr>
        <w:lastRenderedPageBreak/>
        <w:t>Automated denial or under-authorization could trigger litigation, regulatory action and customer loss.</w:t>
      </w:r>
      <w:r w:rsidRPr="00DC26B8">
        <w:t xml:space="preserve"> A model trained to optimise payer cost may systematically request more documentation, recommend lower authorization or create biased outcomes. The 2025 AMA survey found that </w:t>
      </w:r>
      <w:r w:rsidRPr="00DC26B8">
        <w:rPr>
          <w:b/>
          <w:bCs/>
        </w:rPr>
        <w:t>95% of surveyed physicians reported PA-related care delays</w:t>
      </w:r>
      <w:r w:rsidRPr="00DC26B8">
        <w:t xml:space="preserve">, </w:t>
      </w:r>
      <w:r w:rsidRPr="00DC26B8">
        <w:rPr>
          <w:b/>
          <w:bCs/>
        </w:rPr>
        <w:t>92% perceived a negative clinical impact</w:t>
      </w:r>
      <w:r w:rsidRPr="00DC26B8">
        <w:t xml:space="preserve">, and </w:t>
      </w:r>
      <w:r w:rsidRPr="00DC26B8">
        <w:rPr>
          <w:b/>
          <w:bCs/>
        </w:rPr>
        <w:t>26% reported a serious adverse event</w:t>
      </w:r>
      <w:r w:rsidRPr="00DC26B8">
        <w:t xml:space="preserve"> in patient care; these are physician perceptions rather than adjudicated causation, but they demonstrate the political and reputational sensitivity. </w:t>
      </w:r>
      <w:hyperlink r:id="rId82" w:history="1">
        <w:r w:rsidRPr="00DC26B8">
          <w:rPr>
            <w:rStyle w:val="Hyperlink"/>
          </w:rPr>
          <w:t>[ama-assn.org]</w:t>
        </w:r>
      </w:hyperlink>
    </w:p>
    <w:p w14:paraId="7627B7FB" w14:textId="77777777" w:rsidR="00DC26B8" w:rsidRPr="00DC26B8" w:rsidRDefault="00DC26B8" w:rsidP="00DC26B8">
      <w:pPr>
        <w:numPr>
          <w:ilvl w:val="0"/>
          <w:numId w:val="4"/>
        </w:numPr>
      </w:pPr>
      <w:r w:rsidRPr="00DC26B8">
        <w:rPr>
          <w:b/>
          <w:bCs/>
        </w:rPr>
        <w:t>Reported automation rates may not convert into attractive unit economics.</w:t>
      </w:r>
      <w:r w:rsidRPr="00DC26B8">
        <w:t xml:space="preserve"> Straight-through approval can be high for clean, repetitive cases, while complex oncology, specialty-drug, behavioural-health and inpatient cases require clinicians and appeals staff. If customers retain the easy cases internally and outsource exceptions, vendors may inherit a labour-intensive case mix that limits SaaS margins.</w:t>
      </w:r>
    </w:p>
    <w:p w14:paraId="6CCA0B32" w14:textId="77777777" w:rsidR="00DC26B8" w:rsidRPr="00DC26B8" w:rsidRDefault="00DC26B8" w:rsidP="00DC26B8">
      <w:pPr>
        <w:numPr>
          <w:ilvl w:val="0"/>
          <w:numId w:val="4"/>
        </w:numPr>
      </w:pPr>
      <w:r w:rsidRPr="00DC26B8">
        <w:rPr>
          <w:b/>
          <w:bCs/>
        </w:rPr>
        <w:t>Dependence on payer policies and historical decisions can embed inconsistency.</w:t>
      </w:r>
      <w:r w:rsidRPr="00DC26B8">
        <w:t xml:space="preserve"> Policies change frequently and differ by plan, state, employer group and benefit design. A stale policy library can generate avoidable denials or missed authorizations. Historical claims also reflect past documentation gaps and potentially inconsistent clinical criteria, so model accuracy may deteriorate when payer behaviour changes.</w:t>
      </w:r>
    </w:p>
    <w:p w14:paraId="1E1C767A" w14:textId="77777777" w:rsidR="00DC26B8" w:rsidRPr="00DC26B8" w:rsidRDefault="00DC26B8" w:rsidP="00DC26B8">
      <w:pPr>
        <w:numPr>
          <w:ilvl w:val="0"/>
          <w:numId w:val="4"/>
        </w:numPr>
      </w:pPr>
      <w:r w:rsidRPr="00DC26B8">
        <w:rPr>
          <w:b/>
          <w:bCs/>
        </w:rPr>
        <w:t>Platform incumbents can bundle away stand-alone vendors.</w:t>
      </w:r>
      <w:r w:rsidRPr="00DC26B8">
        <w:t xml:space="preserve"> R1, Waystar, Availity, Optum and large EHR vendors can integrate PA into larger RCM, clearinghouse or payer-administration contracts. R1’s proposed Humata acquisition is direct evidence that PA functionality is becoming a module inside broader pre-bill operating systems. A stand-alone vendor without proprietary policy intelligence, a data network or demonstrably superior outcomes may face pricing pressure or become dependent on an eventual strategic sale. </w:t>
      </w:r>
      <w:hyperlink r:id="rId83" w:history="1">
        <w:r w:rsidRPr="00DC26B8">
          <w:rPr>
            <w:rStyle w:val="Hyperlink"/>
          </w:rPr>
          <w:t>[r1rcm.com]</w:t>
        </w:r>
      </w:hyperlink>
    </w:p>
    <w:p w14:paraId="44F9DCCB" w14:textId="77777777" w:rsidR="00DC26B8" w:rsidRPr="00DC26B8" w:rsidRDefault="00DC26B8" w:rsidP="00DC26B8">
      <w:pPr>
        <w:rPr>
          <w:b/>
          <w:bCs/>
        </w:rPr>
      </w:pPr>
      <w:r w:rsidRPr="00DC26B8">
        <w:rPr>
          <w:b/>
          <w:bCs/>
        </w:rPr>
        <w:t>8. PE Attractiveness Verdict</w:t>
      </w:r>
    </w:p>
    <w:p w14:paraId="2A4C2F38" w14:textId="0DAAB1DD" w:rsidR="00AE71F0" w:rsidRDefault="00DC26B8">
      <w:r w:rsidRPr="00DC26B8">
        <w:rPr>
          <w:b/>
          <w:bCs/>
        </w:rPr>
        <w:t>Selective.</w:t>
      </w:r>
      <w:r w:rsidRPr="00DC26B8">
        <w:t xml:space="preserve"> AI-enabled insurance and prior authorization is beyond the pilot stage, with scaled deployment across hundreds of hospitals, thousands of facilities and millions of transactions, and it has unusually strong regulatory tailwinds from CMS’s 2026–2027 mandates, IRDAI’s one-hour cashless deadline and India’s NHCX build-out. However, the market should not be underwritten using headline TAM reports because definitions vary materially, US- and India-specific AI-prior-auth sizing is not reliably disclosed, and basic submission automation is likely to commoditise. The strongest PE targets are scaled </w:t>
      </w:r>
      <w:r w:rsidRPr="00DC26B8">
        <w:lastRenderedPageBreak/>
        <w:t xml:space="preserve">platforms with proprietary payer-policy libraries, multi-payer connectivity, audited production outcomes, high recurring revenue, human-in-the-loop clinical governance and a credible path to expand into eligibility, utilization management, denial prevention and payment integrity. Assets dependent on unverified “autonomous AI” claims, a single payer, labour-heavy exception processing or undifferentiated RPA should be avoided. The preferred strategy is to </w:t>
      </w:r>
      <w:r w:rsidRPr="00DC26B8">
        <w:rPr>
          <w:b/>
          <w:bCs/>
        </w:rPr>
        <w:t>deploy capital now only into proven workflow infrastructure or profitable hybrid platforms</w:t>
      </w:r>
      <w:r w:rsidRPr="00DC26B8">
        <w:t xml:space="preserve">, with bolt-on acquisitions used to add policy intelligence, clinical-document extraction and India delivery capability rather than paying venture-style multiples for stand-alone generative-AI interfaces. </w:t>
      </w:r>
      <w:hyperlink r:id="rId84" w:history="1">
        <w:r w:rsidRPr="00DC26B8">
          <w:rPr>
            <w:rStyle w:val="Hyperlink"/>
          </w:rPr>
          <w:t>[cms.gov]</w:t>
        </w:r>
      </w:hyperlink>
      <w:r w:rsidRPr="00DC26B8">
        <w:t xml:space="preserve">, </w:t>
      </w:r>
      <w:hyperlink r:id="rId85" w:history="1">
        <w:r w:rsidRPr="00DC26B8">
          <w:rPr>
            <w:rStyle w:val="Hyperlink"/>
          </w:rPr>
          <w:t>[angelone.in]</w:t>
        </w:r>
      </w:hyperlink>
      <w:r w:rsidRPr="00DC26B8">
        <w:t xml:space="preserve">, </w:t>
      </w:r>
      <w:hyperlink r:id="rId86" w:history="1">
        <w:r w:rsidRPr="00DC26B8">
          <w:rPr>
            <w:rStyle w:val="Hyperlink"/>
          </w:rPr>
          <w:t>[pib.gov.in]</w:t>
        </w:r>
      </w:hyperlink>
    </w:p>
    <w:sectPr w:rsidR="00AE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0578D"/>
    <w:multiLevelType w:val="multilevel"/>
    <w:tmpl w:val="EB76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F33D85"/>
    <w:multiLevelType w:val="multilevel"/>
    <w:tmpl w:val="D2B0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7364F"/>
    <w:multiLevelType w:val="multilevel"/>
    <w:tmpl w:val="428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E03D5"/>
    <w:multiLevelType w:val="multilevel"/>
    <w:tmpl w:val="71A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083395">
    <w:abstractNumId w:val="1"/>
  </w:num>
  <w:num w:numId="2" w16cid:durableId="546188977">
    <w:abstractNumId w:val="3"/>
  </w:num>
  <w:num w:numId="3" w16cid:durableId="1973361533">
    <w:abstractNumId w:val="2"/>
  </w:num>
  <w:num w:numId="4" w16cid:durableId="8712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6B8"/>
    <w:rsid w:val="000B6152"/>
    <w:rsid w:val="00513609"/>
    <w:rsid w:val="00AE71F0"/>
    <w:rsid w:val="00CB6DA6"/>
    <w:rsid w:val="00DC2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EC5C"/>
  <w15:chartTrackingRefBased/>
  <w15:docId w15:val="{15A32B17-541D-4588-8211-D27E6302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6B8"/>
    <w:rPr>
      <w:rFonts w:eastAsiaTheme="majorEastAsia" w:cstheme="majorBidi"/>
      <w:color w:val="272727" w:themeColor="text1" w:themeTint="D8"/>
    </w:rPr>
  </w:style>
  <w:style w:type="paragraph" w:styleId="Title">
    <w:name w:val="Title"/>
    <w:basedOn w:val="Normal"/>
    <w:next w:val="Normal"/>
    <w:link w:val="TitleChar"/>
    <w:uiPriority w:val="10"/>
    <w:qFormat/>
    <w:rsid w:val="00DC2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6B8"/>
    <w:pPr>
      <w:spacing w:before="160"/>
      <w:jc w:val="center"/>
    </w:pPr>
    <w:rPr>
      <w:i/>
      <w:iCs/>
      <w:color w:val="404040" w:themeColor="text1" w:themeTint="BF"/>
    </w:rPr>
  </w:style>
  <w:style w:type="character" w:customStyle="1" w:styleId="QuoteChar">
    <w:name w:val="Quote Char"/>
    <w:basedOn w:val="DefaultParagraphFont"/>
    <w:link w:val="Quote"/>
    <w:uiPriority w:val="29"/>
    <w:rsid w:val="00DC26B8"/>
    <w:rPr>
      <w:i/>
      <w:iCs/>
      <w:color w:val="404040" w:themeColor="text1" w:themeTint="BF"/>
    </w:rPr>
  </w:style>
  <w:style w:type="paragraph" w:styleId="ListParagraph">
    <w:name w:val="List Paragraph"/>
    <w:basedOn w:val="Normal"/>
    <w:uiPriority w:val="34"/>
    <w:qFormat/>
    <w:rsid w:val="00DC26B8"/>
    <w:pPr>
      <w:ind w:left="720"/>
      <w:contextualSpacing/>
    </w:pPr>
  </w:style>
  <w:style w:type="character" w:styleId="IntenseEmphasis">
    <w:name w:val="Intense Emphasis"/>
    <w:basedOn w:val="DefaultParagraphFont"/>
    <w:uiPriority w:val="21"/>
    <w:qFormat/>
    <w:rsid w:val="00DC26B8"/>
    <w:rPr>
      <w:i/>
      <w:iCs/>
      <w:color w:val="0F4761" w:themeColor="accent1" w:themeShade="BF"/>
    </w:rPr>
  </w:style>
  <w:style w:type="paragraph" w:styleId="IntenseQuote">
    <w:name w:val="Intense Quote"/>
    <w:basedOn w:val="Normal"/>
    <w:next w:val="Normal"/>
    <w:link w:val="IntenseQuoteChar"/>
    <w:uiPriority w:val="30"/>
    <w:qFormat/>
    <w:rsid w:val="00DC2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6B8"/>
    <w:rPr>
      <w:i/>
      <w:iCs/>
      <w:color w:val="0F4761" w:themeColor="accent1" w:themeShade="BF"/>
    </w:rPr>
  </w:style>
  <w:style w:type="character" w:styleId="IntenseReference">
    <w:name w:val="Intense Reference"/>
    <w:basedOn w:val="DefaultParagraphFont"/>
    <w:uiPriority w:val="32"/>
    <w:qFormat/>
    <w:rsid w:val="00DC26B8"/>
    <w:rPr>
      <w:b/>
      <w:bCs/>
      <w:smallCaps/>
      <w:color w:val="0F4761" w:themeColor="accent1" w:themeShade="BF"/>
      <w:spacing w:val="5"/>
    </w:rPr>
  </w:style>
  <w:style w:type="character" w:styleId="Hyperlink">
    <w:name w:val="Hyperlink"/>
    <w:basedOn w:val="DefaultParagraphFont"/>
    <w:uiPriority w:val="99"/>
    <w:unhideWhenUsed/>
    <w:rsid w:val="00DC26B8"/>
    <w:rPr>
      <w:color w:val="467886" w:themeColor="hyperlink"/>
      <w:u w:val="single"/>
    </w:rPr>
  </w:style>
  <w:style w:type="character" w:styleId="UnresolvedMention">
    <w:name w:val="Unresolved Mention"/>
    <w:basedOn w:val="DefaultParagraphFont"/>
    <w:uiPriority w:val="99"/>
    <w:semiHidden/>
    <w:unhideWhenUsed/>
    <w:rsid w:val="00DC2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cplgroupindia.co.in/cdsco-samd-guidance-2025-26-what-indias-digital-health-companies-must-do-now/" TargetMode="External"/><Relationship Id="rId21" Type="http://schemas.openxmlformats.org/officeDocument/2006/relationships/hyperlink" Target="https://vitraya.com/" TargetMode="External"/><Relationship Id="rId42" Type="http://schemas.openxmlformats.org/officeDocument/2006/relationships/hyperlink" Target="https://www.infinx.com/investment-firm-kkr-infuses-150-million-in-ai-healthcare-firm-infinx-reports/" TargetMode="External"/><Relationship Id="rId47" Type="http://schemas.openxmlformats.org/officeDocument/2006/relationships/hyperlink" Target="https://www.waystar.com/news/fourth-quarter-and-fiscal-year-2025/" TargetMode="External"/><Relationship Id="rId63" Type="http://schemas.openxmlformats.org/officeDocument/2006/relationships/hyperlink" Target="https://www.franciscopartners.com/media/francisco-partners-announces-sale-of-minority-stake-in-availity" TargetMode="External"/><Relationship Id="rId68" Type="http://schemas.openxmlformats.org/officeDocument/2006/relationships/hyperlink" Target="https://linear.health/blog/cms-prior-authorization-rule-2026" TargetMode="External"/><Relationship Id="rId84" Type="http://schemas.openxmlformats.org/officeDocument/2006/relationships/hyperlink" Target="https://www.cms.gov/initiatives/burden-reduction/overview/interoperability/policies-regulations/cms-interoperability-prior-authorization-final-rule-cms-0057-f" TargetMode="External"/><Relationship Id="rId16" Type="http://schemas.openxmlformats.org/officeDocument/2006/relationships/hyperlink" Target="https://sarvada.ai/ai-insurtech/ai-claims-stp-irdai-cashless-tat-commercial-health-india-2026" TargetMode="External"/><Relationship Id="rId11" Type="http://schemas.openxmlformats.org/officeDocument/2006/relationships/hyperlink" Target="https://www.custommarketinsights.com/report/india-ai-in-healthcare-market/" TargetMode="External"/><Relationship Id="rId32" Type="http://schemas.openxmlformats.org/officeDocument/2006/relationships/hyperlink" Target="https://intuitionlabs.ai/articles/cohere-health-ai-prior-authorization" TargetMode="External"/><Relationship Id="rId37" Type="http://schemas.openxmlformats.org/officeDocument/2006/relationships/hyperlink" Target="https://www.r1rcm.com/newsroom/r1-to-acquire-humata-health-enhancing-phare-os-with-ai-powered-prior-authorization-automation-and-payer-provider-collaboration" TargetMode="External"/><Relationship Id="rId53" Type="http://schemas.openxmlformats.org/officeDocument/2006/relationships/hyperlink" Target="https://prettybrookpartners.com/availity-a-health-it-company-is-acquiring-the-olive-ai-business-line/" TargetMode="External"/><Relationship Id="rId58" Type="http://schemas.openxmlformats.org/officeDocument/2006/relationships/hyperlink" Target="https://www.r1rcm.com/newsroom/towerbrook-and-cdr-complete-acquisition-of-r1-rcm" TargetMode="External"/><Relationship Id="rId74" Type="http://schemas.openxmlformats.org/officeDocument/2006/relationships/hyperlink" Target="https://www.fda.gov/regulatory-information/search-fda-guidance-documents/clinical-decision-support-software" TargetMode="External"/><Relationship Id="rId79" Type="http://schemas.openxmlformats.org/officeDocument/2006/relationships/hyperlink" Target="https://cdsco.gov.in/opencms/export/sites/CDSCO_WEB/Pdf-documents/Guidance-document-on-Medical-Device-Software-under-MDR-2017.pdf" TargetMode="External"/><Relationship Id="rId5" Type="http://schemas.openxmlformats.org/officeDocument/2006/relationships/hyperlink" Target="https://www.mordorintelligence.com/industry-reports/ai-based-prior-authorization-market" TargetMode="External"/><Relationship Id="rId19" Type="http://schemas.openxmlformats.org/officeDocument/2006/relationships/hyperlink" Target="https://media.kkr.com/news-details?news_id=08959728-f5da-44a2-a39b-492393c9a8ea" TargetMode="External"/><Relationship Id="rId14" Type="http://schemas.openxmlformats.org/officeDocument/2006/relationships/hyperlink" Target="https://www.fortunebusinessinsights.com/ai-based-prior-authorization-automation-market-118733" TargetMode="External"/><Relationship Id="rId22" Type="http://schemas.openxmlformats.org/officeDocument/2006/relationships/hyperlink" Target="https://novoholdings.dk/news/novo-holdings-a-s-invests-in-us-healthcare-it-company-availity" TargetMode="External"/><Relationship Id="rId27" Type="http://schemas.openxmlformats.org/officeDocument/2006/relationships/hyperlink" Target="https://cdsco.gov.in/opencms/export/sites/CDSCO_WEB/Pdf-documents/Guidance-document-on-Medical-Device-Software-under-MDR-2017.pdf" TargetMode="External"/><Relationship Id="rId30" Type="http://schemas.openxmlformats.org/officeDocument/2006/relationships/hyperlink" Target="https://intuitionlabs.ai/articles/cohere-health-ai-prior-authorization" TargetMode="External"/><Relationship Id="rId35" Type="http://schemas.openxmlformats.org/officeDocument/2006/relationships/hyperlink" Target="https://www.humatahealth.com/" TargetMode="External"/><Relationship Id="rId43" Type="http://schemas.openxmlformats.org/officeDocument/2006/relationships/hyperlink" Target="https://vitraya.com/" TargetMode="External"/><Relationship Id="rId48" Type="http://schemas.openxmlformats.org/officeDocument/2006/relationships/hyperlink" Target="https://www.reuters.com/world/healthcare-software-firm-waystar-explores-options-including-sale-sources-say-2026-09-15/" TargetMode="External"/><Relationship Id="rId56" Type="http://schemas.openxmlformats.org/officeDocument/2006/relationships/hyperlink" Target="https://media.kkr.com/news-details?news_id=08959728-f5da-44a2-a39b-492393c9a8ea" TargetMode="External"/><Relationship Id="rId64" Type="http://schemas.openxmlformats.org/officeDocument/2006/relationships/hyperlink" Target="https://www.pehub.com/novos-investment-in-availity-values-healthcare-it-company-at-1-7bn-plus/" TargetMode="External"/><Relationship Id="rId69" Type="http://schemas.openxmlformats.org/officeDocument/2006/relationships/hyperlink" Target="https://www.cms.gov/initiatives/burden-reduction/overview/interoperability/policies-regulations/cms-interoperability-prior-authorization-final-rule-cms-0057-f" TargetMode="External"/><Relationship Id="rId77" Type="http://schemas.openxmlformats.org/officeDocument/2006/relationships/hyperlink" Target="https://pib.gov.in/PressReleasePage.aspx?PRID=2236366&amp;reg=3&amp;lang=1" TargetMode="External"/><Relationship Id="rId8" Type="http://schemas.openxmlformats.org/officeDocument/2006/relationships/hyperlink" Target="https://dataintelo.com/report/ai-powered-healthcare-prior-authorization-market" TargetMode="External"/><Relationship Id="rId51" Type="http://schemas.openxmlformats.org/officeDocument/2006/relationships/hyperlink" Target="https://www.pehub.com/novos-investment-in-availity-values-healthcare-it-company-at-1-7bn-plus/" TargetMode="External"/><Relationship Id="rId72" Type="http://schemas.openxmlformats.org/officeDocument/2006/relationships/hyperlink" Target="https://www.cms.gov/initiatives/burden-reduction/overview/interoperability/policies-regulations/cms-interoperability-prior-authorization-final-rule-cms-0057-f" TargetMode="External"/><Relationship Id="rId80" Type="http://schemas.openxmlformats.org/officeDocument/2006/relationships/hyperlink" Target="https://www.cms.gov/initiatives/burden-reduction/overview/interoperability/policies-regulations/cms-interoperability-prior-authorization-final-rule-cms-0057-f" TargetMode="External"/><Relationship Id="rId85" Type="http://schemas.openxmlformats.org/officeDocument/2006/relationships/hyperlink" Target="https://www.angelone.in/news/personal-finance/cashless-health-insurance-claim-authorisation-in-2025-how-long-does-it-take-irdai-s-new-rules-and-data" TargetMode="External"/><Relationship Id="rId3" Type="http://schemas.openxmlformats.org/officeDocument/2006/relationships/settings" Target="settings.xml"/><Relationship Id="rId12" Type="http://schemas.openxmlformats.org/officeDocument/2006/relationships/hyperlink" Target="https://www.mordorintelligence.com/industry-reports/ai-based-prior-authorization-market" TargetMode="External"/><Relationship Id="rId17" Type="http://schemas.openxmlformats.org/officeDocument/2006/relationships/hyperlink" Target="https://hcxbeta.nha.gov.in/" TargetMode="External"/><Relationship Id="rId25" Type="http://schemas.openxmlformats.org/officeDocument/2006/relationships/hyperlink" Target="https://www.fda.gov/regulatory-information/search-fda-guidance-documents/clinical-decision-support-software" TargetMode="External"/><Relationship Id="rId33" Type="http://schemas.openxmlformats.org/officeDocument/2006/relationships/hyperlink" Target="https://www.coherehealth.com/news/raises-50-million-in-equity-to-meet-increased-demand" TargetMode="External"/><Relationship Id="rId38" Type="http://schemas.openxmlformats.org/officeDocument/2006/relationships/hyperlink" Target="https://www.acquiry.com/deal-intelligence/r1-acquires-humata-health/" TargetMode="External"/><Relationship Id="rId46" Type="http://schemas.openxmlformats.org/officeDocument/2006/relationships/hyperlink" Target="https://startupintros.com/orgs/vitraya" TargetMode="External"/><Relationship Id="rId59" Type="http://schemas.openxmlformats.org/officeDocument/2006/relationships/hyperlink" Target="https://www.r1rcm.com/newsroom/r1-to-acquire-humata-health-enhancing-phare-os-with-ai-powered-prior-authorization-automation-and-payer-provider-collaboration" TargetMode="External"/><Relationship Id="rId67" Type="http://schemas.openxmlformats.org/officeDocument/2006/relationships/hyperlink" Target="https://www.cms.gov/initiatives/burden-reduction/overview/interoperability/policies-regulations/cms-interoperability-prior-authorization-final-rule-cms-0057-f" TargetMode="External"/><Relationship Id="rId20" Type="http://schemas.openxmlformats.org/officeDocument/2006/relationships/hyperlink" Target="https://www.infinx.com/prior-authorization-solution-ai-and-automation/" TargetMode="External"/><Relationship Id="rId41" Type="http://schemas.openxmlformats.org/officeDocument/2006/relationships/hyperlink" Target="https://media.kkr.com/news-details?news_id=08959728-f5da-44a2-a39b-492393c9a8ea" TargetMode="External"/><Relationship Id="rId54" Type="http://schemas.openxmlformats.org/officeDocument/2006/relationships/hyperlink" Target="https://www.cms.gov/initiatives/burden-reduction/overview/interoperability/policies-regulations/cms-interoperability-prior-authorization-final-rule-cms-0057-f" TargetMode="External"/><Relationship Id="rId62" Type="http://schemas.openxmlformats.org/officeDocument/2006/relationships/hyperlink" Target="https://www.waystar.com/news/fourth-quarter-and-fiscal-year-2025/" TargetMode="External"/><Relationship Id="rId70" Type="http://schemas.openxmlformats.org/officeDocument/2006/relationships/hyperlink" Target="https://linear.health/blog/cms-prior-authorization-rule-2026" TargetMode="External"/><Relationship Id="rId75" Type="http://schemas.openxmlformats.org/officeDocument/2006/relationships/hyperlink" Target="https://www.angelone.in/news/personal-finance/cashless-health-insurance-claim-authorisation-in-2025-how-long-does-it-take-irdai-s-new-rules-and-data" TargetMode="External"/><Relationship Id="rId83" Type="http://schemas.openxmlformats.org/officeDocument/2006/relationships/hyperlink" Target="https://www.r1rcm.com/newsroom/r1-to-acquire-humata-health-enhancing-phare-os-with-ai-powered-prior-authorization-automation-and-payer-provider-collaboration"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ortunebusinessinsights.com/ai-based-prior-authorization-automation-market-118733" TargetMode="External"/><Relationship Id="rId15" Type="http://schemas.openxmlformats.org/officeDocument/2006/relationships/hyperlink" Target="https://www.cms.gov/initiatives/burden-reduction/overview/interoperability/policies-regulations/cms-interoperability-prior-authorization-final-rule-cms-0057-f" TargetMode="External"/><Relationship Id="rId23" Type="http://schemas.openxmlformats.org/officeDocument/2006/relationships/hyperlink" Target="https://www.waystar.com/news/fourth-quarter-and-fiscal-year-2025/" TargetMode="External"/><Relationship Id="rId28" Type="http://schemas.openxmlformats.org/officeDocument/2006/relationships/hyperlink" Target="https://www.coherehealth.com/news/national-survey-ai-prior-authorization" TargetMode="External"/><Relationship Id="rId36" Type="http://schemas.openxmlformats.org/officeDocument/2006/relationships/hyperlink" Target="https://www.businesswire.com/news/home/20240620113831/en/Prior-Authorization-Platform-Humata-Health-Closes-25M-Investment" TargetMode="External"/><Relationship Id="rId49" Type="http://schemas.openxmlformats.org/officeDocument/2006/relationships/hyperlink" Target="https://www.availity.com/authorizations/" TargetMode="External"/><Relationship Id="rId57" Type="http://schemas.openxmlformats.org/officeDocument/2006/relationships/hyperlink" Target="https://www.infinx.com/kkr-buys-minority-stake-in-healthcare-focused-firm/" TargetMode="External"/><Relationship Id="rId10" Type="http://schemas.openxmlformats.org/officeDocument/2006/relationships/hyperlink" Target="https://www.grandviewresearch.com/press-release/india-health-insurance-market-analysis" TargetMode="External"/><Relationship Id="rId31" Type="http://schemas.openxmlformats.org/officeDocument/2006/relationships/hyperlink" Target="https://pitchbook.com/profiles/company/399267-82" TargetMode="External"/><Relationship Id="rId44" Type="http://schemas.openxmlformats.org/officeDocument/2006/relationships/hyperlink" Target="https://tracxn.com/d/companies/vitraya/__SSpHh4FCVzXG27oe479U4nT1WThVCUBPtK8xD3-YLlw" TargetMode="External"/><Relationship Id="rId52" Type="http://schemas.openxmlformats.org/officeDocument/2006/relationships/hyperlink" Target="https://www.r1rcm.com/newsroom/r1-to-acquire-humata-health-enhancing-phare-os-with-ai-powered-prior-authorization-automation-and-payer-provider-collaboration" TargetMode="External"/><Relationship Id="rId60" Type="http://schemas.openxmlformats.org/officeDocument/2006/relationships/hyperlink" Target="https://www.prnewswire.com/news-releases/eqt-and-cppib-to-acquire-a-majority-equity-stake-in-waystar-in-transaction-valued-at-2-7-billion-300892245.html" TargetMode="External"/><Relationship Id="rId65" Type="http://schemas.openxmlformats.org/officeDocument/2006/relationships/hyperlink" Target="https://novoholdings.dk/investments/availity" TargetMode="External"/><Relationship Id="rId73" Type="http://schemas.openxmlformats.org/officeDocument/2006/relationships/hyperlink" Target="https://www.fda.gov/medical-devices/software-medical-device-samd/clinical-decision-support-software-frequently-asked-questions-faqs" TargetMode="External"/><Relationship Id="rId78" Type="http://schemas.openxmlformats.org/officeDocument/2006/relationships/hyperlink" Target="https://acplgroupindia.co.in/cdsco-samd-guidance-2025-26-what-indias-digital-health-companies-must-do-now/" TargetMode="External"/><Relationship Id="rId81" Type="http://schemas.openxmlformats.org/officeDocument/2006/relationships/hyperlink" Target="https://hcxbeta.nha.gov.in/" TargetMode="External"/><Relationship Id="rId86" Type="http://schemas.openxmlformats.org/officeDocument/2006/relationships/hyperlink" Target="https://pib.gov.in/PressReleasePage.aspx?PRID=2236366&amp;reg=3&amp;lang=1" TargetMode="External"/><Relationship Id="rId4" Type="http://schemas.openxmlformats.org/officeDocument/2006/relationships/webSettings" Target="webSettings.xml"/><Relationship Id="rId9" Type="http://schemas.openxmlformats.org/officeDocument/2006/relationships/hyperlink" Target="https://www.grandviewresearch.com/industry-analysis/india-health-insurance-market-report" TargetMode="External"/><Relationship Id="rId13" Type="http://schemas.openxmlformats.org/officeDocument/2006/relationships/hyperlink" Target="https://dataintelo.com/report/ai-powered-healthcare-prior-authorization-market" TargetMode="External"/><Relationship Id="rId18" Type="http://schemas.openxmlformats.org/officeDocument/2006/relationships/hyperlink" Target="https://www.businesswire.com/news/home/20240620113831/en/Prior-Authorization-Platform-Humata-Health-Closes-25M-Investment" TargetMode="External"/><Relationship Id="rId39" Type="http://schemas.openxmlformats.org/officeDocument/2006/relationships/hyperlink" Target="https://www.infinx.com/prior-authorization-solution-ai-and-automation/" TargetMode="External"/><Relationship Id="rId34" Type="http://schemas.openxmlformats.org/officeDocument/2006/relationships/hyperlink" Target="https://www.businesswire.com/news/home/20240620113831/en/Prior-Authorization-Platform-Humata-Health-Closes-25M-Investment" TargetMode="External"/><Relationship Id="rId50" Type="http://schemas.openxmlformats.org/officeDocument/2006/relationships/hyperlink" Target="https://novoholdings.dk/news/novo-holdings-a-s-invests-in-us-healthcare-it-company-availity" TargetMode="External"/><Relationship Id="rId55" Type="http://schemas.openxmlformats.org/officeDocument/2006/relationships/hyperlink" Target="https://hcxbeta.nha.gov.in/" TargetMode="External"/><Relationship Id="rId76" Type="http://schemas.openxmlformats.org/officeDocument/2006/relationships/hyperlink" Target="https://hcxbeta.nha.gov.in/" TargetMode="External"/><Relationship Id="rId7" Type="http://schemas.openxmlformats.org/officeDocument/2006/relationships/hyperlink" Target="https://dataintelo.com/report/ai-powered-healthcare-prior-authorization-market" TargetMode="External"/><Relationship Id="rId71" Type="http://schemas.openxmlformats.org/officeDocument/2006/relationships/hyperlink" Target="https://www.cms.gov/initiatives/burden-reduction/overview/interoperability/policies-regulations/cms-interoperability-standards-prior-authorization-drugs-proposed-rule-cms-0062-p" TargetMode="External"/><Relationship Id="rId2" Type="http://schemas.openxmlformats.org/officeDocument/2006/relationships/styles" Target="styles.xml"/><Relationship Id="rId29" Type="http://schemas.openxmlformats.org/officeDocument/2006/relationships/hyperlink" Target="https://go.healthedge.com/2026-Payer-Planning-Survey.html" TargetMode="External"/><Relationship Id="rId24" Type="http://schemas.openxmlformats.org/officeDocument/2006/relationships/hyperlink" Target="https://www.fda.gov/medical-devices/software-medical-device-samd/clinical-decision-support-software-frequently-asked-questions-faqs" TargetMode="External"/><Relationship Id="rId40" Type="http://schemas.openxmlformats.org/officeDocument/2006/relationships/hyperlink" Target="https://www.infinx.com/" TargetMode="External"/><Relationship Id="rId45" Type="http://schemas.openxmlformats.org/officeDocument/2006/relationships/hyperlink" Target="https://www.xceedance.com/xceedance-makes-series-a-investment-in-vitraya-a-blockchain-based-tech-platform-in-the-healthcare-claims-sector/" TargetMode="External"/><Relationship Id="rId66" Type="http://schemas.openxmlformats.org/officeDocument/2006/relationships/hyperlink" Target="https://novoholdings.dk/news/novo-holdings-a-s-invests-in-us-healthcare-it-company-availity" TargetMode="External"/><Relationship Id="rId87" Type="http://schemas.openxmlformats.org/officeDocument/2006/relationships/fontTable" Target="fontTable.xml"/><Relationship Id="rId61" Type="http://schemas.openxmlformats.org/officeDocument/2006/relationships/hyperlink" Target="https://www.reuters.com/world/healthcare-software-firm-waystar-explores-options-including-sale-sources-say-2026-09-15/" TargetMode="External"/><Relationship Id="rId82" Type="http://schemas.openxmlformats.org/officeDocument/2006/relationships/hyperlink" Target="https://www.ama-assn.org/system/files/prior-authorization-surve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6307</Words>
  <Characters>29393</Characters>
  <Application>Microsoft Office Word</Application>
  <DocSecurity>0</DocSecurity>
  <Lines>1959</Lines>
  <Paragraphs>1878</Paragraphs>
  <ScaleCrop>false</ScaleCrop>
  <Company/>
  <LinksUpToDate>false</LinksUpToDate>
  <CharactersWithSpaces>33822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2026-09-16T10:21:00Z</dcterms:created>
  <dcterms:modified xsi:type="dcterms:W3CDTF">2026-09-16T10:21:00Z</dcterms:modified>
</cp:coreProperties>
</file>