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BCF2" w14:textId="77777777" w:rsidR="00903037" w:rsidRDefault="00903037" w:rsidP="00903037">
      <w:pPr>
        <w:rPr>
          <w:b/>
          <w:bCs/>
        </w:rPr>
      </w:pPr>
      <w:r>
        <w:rPr>
          <w:b/>
          <w:bCs/>
        </w:rPr>
        <w:t>PATIENT ENGAGEMENT &amp; VIRTUAL CARE</w:t>
      </w:r>
    </w:p>
    <w:p w14:paraId="3FDA4A23" w14:textId="215E1044" w:rsidR="00903037" w:rsidRPr="00903037" w:rsidRDefault="00903037" w:rsidP="00903037">
      <w:pPr>
        <w:rPr>
          <w:b/>
          <w:bCs/>
        </w:rPr>
      </w:pPr>
      <w:r w:rsidRPr="00903037">
        <w:rPr>
          <w:b/>
          <w:bCs/>
        </w:rPr>
        <w:t>1. Outlook</w:t>
      </w:r>
    </w:p>
    <w:p w14:paraId="345AF3BD" w14:textId="77777777" w:rsidR="00903037" w:rsidRPr="00903037" w:rsidRDefault="00903037" w:rsidP="00903037">
      <w:pPr>
        <w:rPr>
          <w:b/>
          <w:bCs/>
        </w:rPr>
      </w:pPr>
      <w:r w:rsidRPr="00903037">
        <w:rPr>
          <w:b/>
          <w:bCs/>
        </w:rPr>
        <w:t>Scope and comparability</w:t>
      </w:r>
    </w:p>
    <w:p w14:paraId="20455707" w14:textId="77777777" w:rsidR="00903037" w:rsidRPr="00903037" w:rsidRDefault="00903037" w:rsidP="00903037">
      <w:r w:rsidRPr="00903037">
        <w:t xml:space="preserve">For this analysis, </w:t>
      </w:r>
      <w:r w:rsidRPr="00903037">
        <w:rPr>
          <w:b/>
          <w:bCs/>
        </w:rPr>
        <w:t>patient engagement and virtual care</w:t>
      </w:r>
      <w:r w:rsidRPr="00903037">
        <w:t xml:space="preserve"> includes AI-enabled patient communication, access and scheduling, conversational assistants, care navigation, remote monitoring, virtual consultations, digital intake, adherence support and longitudinal care coordination. It excludes diagnostic-imaging AI, autonomous clinical diagnosis and hospital revenue-cycle automation unless directly embedded in the patient journey.</w:t>
      </w:r>
    </w:p>
    <w:p w14:paraId="1F287851" w14:textId="77777777" w:rsidR="00903037" w:rsidRPr="00903037" w:rsidRDefault="00903037" w:rsidP="00903037">
      <w:r w:rsidRPr="00903037">
        <w:t xml:space="preserve">Market estimates are </w:t>
      </w:r>
      <w:r w:rsidRPr="00903037">
        <w:rPr>
          <w:b/>
          <w:bCs/>
        </w:rPr>
        <w:t>not directly comparable across publishers</w:t>
      </w:r>
      <w:r w:rsidRPr="00903037">
        <w:t xml:space="preserve">. Some reports measure only “AI in patient engagement,” while others include non-AI portals, telehealth infrastructure, patient-experience software or clinical-service revenue. The primary sizing below therefore uses the narrower </w:t>
      </w:r>
      <w:r w:rsidRPr="00903037">
        <w:rPr>
          <w:b/>
          <w:bCs/>
        </w:rPr>
        <w:t>AI in patient engagement</w:t>
      </w:r>
      <w:r w:rsidRPr="00903037">
        <w:t xml:space="preserve"> definition wherever possible.</w:t>
      </w:r>
    </w:p>
    <w:p w14:paraId="6E9C8DEB" w14:textId="77777777" w:rsidR="00903037" w:rsidRPr="00903037" w:rsidRDefault="00903037" w:rsidP="00903037">
      <w:pPr>
        <w:rPr>
          <w:b/>
          <w:bCs/>
        </w:rPr>
      </w:pPr>
      <w:r w:rsidRPr="00903037">
        <w:rPr>
          <w:b/>
          <w:bCs/>
        </w:rPr>
        <w:t>Market size and CAGR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176"/>
        <w:gridCol w:w="1144"/>
        <w:gridCol w:w="878"/>
        <w:gridCol w:w="3850"/>
      </w:tblGrid>
      <w:tr w:rsidR="00903037" w:rsidRPr="00903037" w14:paraId="50C74CC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FD700D" w14:textId="77777777" w:rsidR="00903037" w:rsidRPr="00903037" w:rsidRDefault="00903037" w:rsidP="00903037">
            <w:pPr>
              <w:rPr>
                <w:b/>
                <w:bCs/>
              </w:rPr>
            </w:pPr>
            <w:r w:rsidRPr="00903037">
              <w:rPr>
                <w:b/>
                <w:bCs/>
              </w:rPr>
              <w:t>Geography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C069FB" w14:textId="77777777" w:rsidR="00903037" w:rsidRPr="00903037" w:rsidRDefault="00903037" w:rsidP="00903037">
            <w:pPr>
              <w:rPr>
                <w:b/>
                <w:bCs/>
              </w:rPr>
            </w:pPr>
            <w:r w:rsidRPr="00903037">
              <w:rPr>
                <w:b/>
                <w:bCs/>
              </w:rPr>
              <w:t>Current/base market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AE920F" w14:textId="77777777" w:rsidR="00903037" w:rsidRPr="00903037" w:rsidRDefault="00903037" w:rsidP="00903037">
            <w:pPr>
              <w:rPr>
                <w:b/>
                <w:bCs/>
              </w:rPr>
            </w:pPr>
            <w:r w:rsidRPr="00903037">
              <w:rPr>
                <w:b/>
                <w:bCs/>
              </w:rPr>
              <w:t>Five-year endpoint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26150E" w14:textId="77777777" w:rsidR="00903037" w:rsidRPr="00903037" w:rsidRDefault="00903037" w:rsidP="00903037">
            <w:pPr>
              <w:rPr>
                <w:b/>
                <w:bCs/>
              </w:rPr>
            </w:pPr>
            <w:r w:rsidRPr="00903037">
              <w:rPr>
                <w:b/>
                <w:bCs/>
              </w:rPr>
              <w:t>CAGR and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27820" w14:textId="77777777" w:rsidR="00903037" w:rsidRPr="00903037" w:rsidRDefault="00903037" w:rsidP="00903037">
            <w:pPr>
              <w:rPr>
                <w:b/>
                <w:bCs/>
              </w:rPr>
            </w:pPr>
            <w:r w:rsidRPr="00903037">
              <w:rPr>
                <w:b/>
                <w:bCs/>
              </w:rPr>
              <w:t>Interpretation</w:t>
            </w:r>
          </w:p>
        </w:tc>
      </w:tr>
      <w:tr w:rsidR="00903037" w:rsidRPr="00903037" w14:paraId="4897B8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D83586" w14:textId="77777777" w:rsidR="00903037" w:rsidRPr="00903037" w:rsidRDefault="00903037" w:rsidP="00903037">
            <w:r w:rsidRPr="00903037">
              <w:rPr>
                <w:b/>
                <w:bCs/>
              </w:rPr>
              <w:t>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8A0C00" w14:textId="77777777" w:rsidR="00903037" w:rsidRPr="00903037" w:rsidRDefault="00903037" w:rsidP="00903037">
            <w:r w:rsidRPr="00903037">
              <w:t>USD 9.28 billion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FB5049" w14:textId="77777777" w:rsidR="00903037" w:rsidRPr="00903037" w:rsidRDefault="00903037" w:rsidP="00903037">
            <w:r w:rsidRPr="00903037">
              <w:t>USD 24.74 billion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3FD21" w14:textId="77777777" w:rsidR="00903037" w:rsidRPr="00903037" w:rsidRDefault="00903037" w:rsidP="00903037">
            <w:r w:rsidRPr="00903037">
              <w:t>21.7% CAGR, 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2912A" w14:textId="77777777" w:rsidR="00903037" w:rsidRPr="00903037" w:rsidRDefault="00903037" w:rsidP="00903037">
            <w:r w:rsidRPr="00903037">
              <w:t xml:space="preserve">The Business Research Company defines the segment as AI used for online support, education, reminders, personalized information and analysis of patient data. </w:t>
            </w:r>
            <w:hyperlink r:id="rId5" w:history="1">
              <w:r w:rsidRPr="00903037">
                <w:rPr>
                  <w:rStyle w:val="Hyperlink"/>
                </w:rPr>
                <w:t>[thebusines...ompany.com]</w:t>
              </w:r>
            </w:hyperlink>
          </w:p>
        </w:tc>
      </w:tr>
      <w:tr w:rsidR="00903037" w:rsidRPr="00903037" w14:paraId="5160E7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84275E" w14:textId="77777777" w:rsidR="00903037" w:rsidRPr="00903037" w:rsidRDefault="00903037" w:rsidP="00903037">
            <w:r w:rsidRPr="00903037">
              <w:rPr>
                <w:b/>
                <w:bCs/>
              </w:rPr>
              <w:t>United States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7433A" w14:textId="77777777" w:rsidR="00903037" w:rsidRPr="00903037" w:rsidRDefault="00903037" w:rsidP="00903037">
            <w:r w:rsidRPr="00903037">
              <w:t>Approximately USD 2.81 billion in 2025, mechanically interpolated from the publisher’s USD 1.94 billion 2023 base using its stated 20.4% CAGR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AC822" w14:textId="77777777" w:rsidR="00903037" w:rsidRPr="00903037" w:rsidRDefault="00903037" w:rsidP="00903037">
            <w:r w:rsidRPr="00903037">
              <w:t>USD 7.11 billion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CA5CE" w14:textId="77777777" w:rsidR="00903037" w:rsidRPr="00903037" w:rsidRDefault="00903037" w:rsidP="00903037">
            <w:r w:rsidRPr="00903037">
              <w:t>20.4% CAGR, 2024–2030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1A76E" w14:textId="77777777" w:rsidR="00903037" w:rsidRPr="00903037" w:rsidRDefault="00903037" w:rsidP="00903037">
            <w:r w:rsidRPr="00903037">
              <w:t xml:space="preserve">Grand View Research measures AI-enabled engagement software delivered through cloud or on-premise models. The 2025 value is </w:t>
            </w:r>
            <w:r w:rsidRPr="00903037">
              <w:rPr>
                <w:b/>
                <w:bCs/>
              </w:rPr>
              <w:t>derived, not directly published</w:t>
            </w:r>
            <w:r w:rsidRPr="00903037">
              <w:t xml:space="preserve">, and should be treated as an estimate. </w:t>
            </w:r>
            <w:hyperlink r:id="rId6" w:history="1">
              <w:r w:rsidRPr="00903037">
                <w:rPr>
                  <w:rStyle w:val="Hyperlink"/>
                </w:rPr>
                <w:t>[grandviewr...search.com]</w:t>
              </w:r>
            </w:hyperlink>
          </w:p>
        </w:tc>
      </w:tr>
      <w:tr w:rsidR="00903037" w:rsidRPr="00903037" w14:paraId="273FA1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9A15FD" w14:textId="77777777" w:rsidR="00903037" w:rsidRPr="00903037" w:rsidRDefault="00903037" w:rsidP="00903037">
            <w:r w:rsidRPr="00903037">
              <w:rPr>
                <w:b/>
                <w:bCs/>
              </w:rPr>
              <w:lastRenderedPageBreak/>
              <w:t>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A4DE5" w14:textId="77777777" w:rsidR="00903037" w:rsidRPr="00903037" w:rsidRDefault="00903037" w:rsidP="00903037">
            <w:r w:rsidRPr="00903037">
              <w:t>Approximately USD 270.6 million in 2025, mechanically interpolated from the publisher’s USD 173.2 million 2023 base using its stated 25.0% CAGR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B32DE" w14:textId="77777777" w:rsidR="00903037" w:rsidRPr="00903037" w:rsidRDefault="00903037" w:rsidP="00903037">
            <w:r w:rsidRPr="00903037">
              <w:t>USD 825.9 million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B3F0D" w14:textId="77777777" w:rsidR="00903037" w:rsidRPr="00903037" w:rsidRDefault="00903037" w:rsidP="00903037">
            <w:r w:rsidRPr="00903037">
              <w:t>25.0% CAGR, 2024–2030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AE8561" w14:textId="77777777" w:rsidR="00903037" w:rsidRPr="00903037" w:rsidRDefault="00903037" w:rsidP="00903037">
            <w:r w:rsidRPr="00903037">
              <w:t xml:space="preserve">Grand View Research uses the same AI-in-patient-engagement taxonomy as its US data. The 2025 value is </w:t>
            </w:r>
            <w:r w:rsidRPr="00903037">
              <w:rPr>
                <w:b/>
                <w:bCs/>
              </w:rPr>
              <w:t>derived, not directly published</w:t>
            </w:r>
            <w:r w:rsidRPr="00903037">
              <w:t xml:space="preserve">, and should be treated as an estimate. </w:t>
            </w:r>
            <w:hyperlink r:id="rId7" w:history="1">
              <w:r w:rsidRPr="00903037">
                <w:rPr>
                  <w:rStyle w:val="Hyperlink"/>
                </w:rPr>
                <w:t>[grandviewr...search.com]</w:t>
              </w:r>
            </w:hyperlink>
          </w:p>
        </w:tc>
      </w:tr>
    </w:tbl>
    <w:p w14:paraId="4F2ED47E" w14:textId="77777777" w:rsidR="00903037" w:rsidRPr="00903037" w:rsidRDefault="00903037" w:rsidP="00903037">
      <w:r w:rsidRPr="00903037">
        <w:rPr>
          <w:b/>
          <w:bCs/>
        </w:rPr>
        <w:t>Calculation note:</w:t>
      </w:r>
      <w:r w:rsidRPr="00903037">
        <w:t xml:space="preserve"> the derived 2025 values use 2023 market size × (1 + stated CAGR)^2. No additional market assumptions have been introduced.</w:t>
      </w:r>
    </w:p>
    <w:p w14:paraId="529AC741" w14:textId="77777777" w:rsidR="00903037" w:rsidRPr="00903037" w:rsidRDefault="00903037" w:rsidP="00903037">
      <w:pPr>
        <w:rPr>
          <w:b/>
          <w:bCs/>
        </w:rPr>
      </w:pPr>
      <w:r w:rsidRPr="00903037">
        <w:rPr>
          <w:b/>
          <w:bCs/>
        </w:rPr>
        <w:t>Cross-checks and definition sensitivity</w:t>
      </w:r>
    </w:p>
    <w:p w14:paraId="16DAEE85" w14:textId="77777777" w:rsidR="00903037" w:rsidRPr="00903037" w:rsidRDefault="00903037" w:rsidP="00903037">
      <w:pPr>
        <w:numPr>
          <w:ilvl w:val="0"/>
          <w:numId w:val="1"/>
        </w:numPr>
      </w:pPr>
      <w:r w:rsidRPr="00903037">
        <w:t xml:space="preserve">Grand View Research estimates the global AI-in-patient-engagement market at USD 6.1 billion in 2023 and USD 23.1 billion in 2030, implying a 21.0% CAGR over 2024–2030. Its global endpoint is close to The Business Research Company’s USD 24.74 billion estimate, although the base-year values and category boundaries differ. </w:t>
      </w:r>
      <w:hyperlink r:id="rId8" w:history="1">
        <w:r w:rsidRPr="00903037">
          <w:rPr>
            <w:rStyle w:val="Hyperlink"/>
          </w:rPr>
          <w:t>[grandviewr...search.com]</w:t>
        </w:r>
      </w:hyperlink>
      <w:r w:rsidRPr="00903037">
        <w:t xml:space="preserve">, </w:t>
      </w:r>
      <w:hyperlink r:id="rId9" w:history="1">
        <w:r w:rsidRPr="00903037">
          <w:rPr>
            <w:rStyle w:val="Hyperlink"/>
          </w:rPr>
          <w:t>[thebusines...ompany.com]</w:t>
        </w:r>
      </w:hyperlink>
    </w:p>
    <w:p w14:paraId="67FD18FD" w14:textId="77777777" w:rsidR="00903037" w:rsidRPr="00903037" w:rsidRDefault="00903037" w:rsidP="00903037">
      <w:pPr>
        <w:numPr>
          <w:ilvl w:val="0"/>
          <w:numId w:val="1"/>
        </w:numPr>
      </w:pPr>
      <w:r w:rsidRPr="00903037">
        <w:t xml:space="preserve">Fortune Business Insights publishes a much more aggressive scenario: USD 7.67 billion in 2025, USD 9.67 billion in 2026 and USD 122.01 billion in 2034, representing a 37.28% CAGR over 2026–2034. The very large divergence from other publishers suggests a broader future product perimeter or substantially more aggressive adoption and pricing assumptions. </w:t>
      </w:r>
      <w:r w:rsidRPr="00903037">
        <w:rPr>
          <w:b/>
          <w:bCs/>
        </w:rPr>
        <w:t>Confidence in using this estimate for underwriting is low without access to the full methodology.</w:t>
      </w:r>
      <w:r w:rsidRPr="00903037">
        <w:t xml:space="preserve"> </w:t>
      </w:r>
      <w:hyperlink r:id="rId10" w:history="1">
        <w:r w:rsidRPr="00903037">
          <w:rPr>
            <w:rStyle w:val="Hyperlink"/>
          </w:rPr>
          <w:t>[fortunebus...sights.com]</w:t>
        </w:r>
      </w:hyperlink>
    </w:p>
    <w:p w14:paraId="73B49659" w14:textId="77777777" w:rsidR="00903037" w:rsidRPr="00903037" w:rsidRDefault="00903037" w:rsidP="00903037">
      <w:pPr>
        <w:numPr>
          <w:ilvl w:val="0"/>
          <w:numId w:val="1"/>
        </w:numPr>
      </w:pPr>
      <w:r w:rsidRPr="00903037">
        <w:t xml:space="preserve">For the broader US patient-engagement-solutions market, including non-AI products and services, MarketsandMarkets estimates USD 14.55 billion in 2025 and USD 25.01 billion in 2030, with an 11.4% CAGR. This is a broader category than the USD 2.81 billion AI-specific estimate above and should not be presented as the same market. </w:t>
      </w:r>
      <w:hyperlink r:id="rId11" w:history="1">
        <w:r w:rsidRPr="00903037">
          <w:rPr>
            <w:rStyle w:val="Hyperlink"/>
          </w:rPr>
          <w:t>[marketsand...arkets.com]</w:t>
        </w:r>
      </w:hyperlink>
    </w:p>
    <w:p w14:paraId="71F8B882" w14:textId="77777777" w:rsidR="00903037" w:rsidRPr="00903037" w:rsidRDefault="00903037" w:rsidP="00903037">
      <w:pPr>
        <w:numPr>
          <w:ilvl w:val="0"/>
          <w:numId w:val="1"/>
        </w:numPr>
      </w:pPr>
      <w:r w:rsidRPr="00903037">
        <w:t>For India, MarketsandMarkets estimates the narrower “patient experience technology” market at USD 12.53 million in 2025 and USD 24.71 million in 2030, with a 14.5% CAGR. Conversely, IMARC Group estimates the much broader patient-</w:t>
      </w:r>
      <w:r w:rsidRPr="00903037">
        <w:lastRenderedPageBreak/>
        <w:t xml:space="preserve">engagement-solutions market at USD 4.2 billion in 2025 and USD 11.9 billion in 2034. The spread demonstrates that taxonomy is the largest source of market-sizing risk. </w:t>
      </w:r>
      <w:hyperlink r:id="rId12" w:history="1">
        <w:r w:rsidRPr="00903037">
          <w:rPr>
            <w:rStyle w:val="Hyperlink"/>
          </w:rPr>
          <w:t>[marketsand...arkets.com]</w:t>
        </w:r>
      </w:hyperlink>
      <w:r w:rsidRPr="00903037">
        <w:t xml:space="preserve">, </w:t>
      </w:r>
      <w:hyperlink r:id="rId13" w:history="1">
        <w:r w:rsidRPr="00903037">
          <w:rPr>
            <w:rStyle w:val="Hyperlink"/>
          </w:rPr>
          <w:t>[imarcgroup.com]</w:t>
        </w:r>
      </w:hyperlink>
    </w:p>
    <w:p w14:paraId="6DCB4DE2" w14:textId="77777777" w:rsidR="00903037" w:rsidRPr="00903037" w:rsidRDefault="00903037" w:rsidP="00903037">
      <w:r w:rsidRPr="00903037">
        <w:rPr>
          <w:b/>
          <w:bCs/>
        </w:rPr>
        <w:t>Underwriting implication:</w:t>
      </w:r>
      <w:r w:rsidRPr="00903037">
        <w:t xml:space="preserve"> use approximately </w:t>
      </w:r>
      <w:r w:rsidRPr="00903037">
        <w:rPr>
          <w:b/>
          <w:bCs/>
        </w:rPr>
        <w:t>21% global, 20% US and 25% India CAGR</w:t>
      </w:r>
      <w:r w:rsidRPr="00903037">
        <w:t xml:space="preserve"> as the base case for AI-specific engagement tools, but build the revenue model from addressable workflows, contracted lives, active users and transaction volumes rather than relying on top-down market reports.</w:t>
      </w:r>
    </w:p>
    <w:p w14:paraId="2B77BE48" w14:textId="77777777" w:rsidR="00903037" w:rsidRPr="00903037" w:rsidRDefault="00903037" w:rsidP="00903037">
      <w:pPr>
        <w:rPr>
          <w:b/>
          <w:bCs/>
        </w:rPr>
      </w:pPr>
      <w:r w:rsidRPr="00903037">
        <w:rPr>
          <w:b/>
          <w:bCs/>
        </w:rPr>
        <w:t>2. AI Maturity</w:t>
      </w:r>
    </w:p>
    <w:p w14:paraId="2BCB8847" w14:textId="77777777" w:rsidR="00903037" w:rsidRPr="00903037" w:rsidRDefault="00903037" w:rsidP="00903037">
      <w:pPr>
        <w:rPr>
          <w:b/>
          <w:bCs/>
        </w:rPr>
      </w:pPr>
      <w:r w:rsidRPr="00903037">
        <w:rPr>
          <w:b/>
          <w:bCs/>
        </w:rPr>
        <w:t>Overall assessment: proven at scale for operational engagement, earlier-stage for autonomous clinical care</w:t>
      </w:r>
    </w:p>
    <w:p w14:paraId="3A37E782" w14:textId="77777777" w:rsidR="00903037" w:rsidRPr="00903037" w:rsidRDefault="00903037" w:rsidP="00903037">
      <w:r w:rsidRPr="00903037">
        <w:t xml:space="preserve">The segment is </w:t>
      </w:r>
      <w:r w:rsidRPr="00903037">
        <w:rPr>
          <w:b/>
          <w:bCs/>
        </w:rPr>
        <w:t>not uniformly early-stage</w:t>
      </w:r>
      <w:r w:rsidRPr="00903037">
        <w:t>. AI-assisted scheduling, outreach, reminders, intake, care-gap closure, message routing and virtual-care navigation are live at substantial scale. However, autonomous symptom assessment, clinical triage, medication changes and treatment recommendations remain less mature and face materially higher validation and regulatory requirements.</w:t>
      </w:r>
    </w:p>
    <w:p w14:paraId="0DB9264B" w14:textId="77777777" w:rsidR="00903037" w:rsidRPr="00903037" w:rsidRDefault="00903037" w:rsidP="00903037">
      <w:pPr>
        <w:rPr>
          <w:b/>
          <w:bCs/>
        </w:rPr>
      </w:pPr>
      <w:r w:rsidRPr="00903037">
        <w:rPr>
          <w:b/>
          <w:bCs/>
        </w:rPr>
        <w:t>Evidence of production-scale deployment</w:t>
      </w:r>
    </w:p>
    <w:p w14:paraId="12FECA57" w14:textId="77777777" w:rsidR="00903037" w:rsidRPr="00903037" w:rsidRDefault="00903037" w:rsidP="00903037">
      <w:pPr>
        <w:numPr>
          <w:ilvl w:val="0"/>
          <w:numId w:val="2"/>
        </w:numPr>
      </w:pPr>
      <w:r w:rsidRPr="00903037">
        <w:t xml:space="preserve">Teladoc Health reported access for more than 100 million people in the United States in 2025. Its integrated-care segment delivered more than one million mental-health visits during 2025, and the company reported USD 2.53 billion of full-year revenue. This supports proven scale for virtual-care delivery, although it does not isolate the number of encounters handled specifically by AI. </w:t>
      </w:r>
      <w:hyperlink r:id="rId14" w:history="1">
        <w:r w:rsidRPr="00903037">
          <w:rPr>
            <w:rStyle w:val="Hyperlink"/>
          </w:rPr>
          <w:t>[sec.gov]</w:t>
        </w:r>
      </w:hyperlink>
      <w:r w:rsidRPr="00903037">
        <w:t xml:space="preserve">, </w:t>
      </w:r>
      <w:hyperlink r:id="rId15" w:history="1">
        <w:r w:rsidRPr="00903037">
          <w:rPr>
            <w:rStyle w:val="Hyperlink"/>
          </w:rPr>
          <w:t>[ir.teladochealth.com]</w:t>
        </w:r>
      </w:hyperlink>
    </w:p>
    <w:p w14:paraId="53A51CD5" w14:textId="77777777" w:rsidR="00903037" w:rsidRPr="00903037" w:rsidRDefault="00903037" w:rsidP="00903037">
      <w:pPr>
        <w:numPr>
          <w:ilvl w:val="0"/>
          <w:numId w:val="2"/>
        </w:numPr>
      </w:pPr>
      <w:r w:rsidRPr="00903037">
        <w:t xml:space="preserve">Amwell powered digital-care programs for approximately 50 health plans representing more than 90 million covered lives and approximately 80 large US health systems as of December 31, 2025. It had powered more than 37.6 million virtual visits since inception, including more than 4.5 million in 2025. </w:t>
      </w:r>
      <w:hyperlink r:id="rId16" w:history="1">
        <w:r w:rsidRPr="00903037">
          <w:rPr>
            <w:rStyle w:val="Hyperlink"/>
          </w:rPr>
          <w:t>[publicnow.com]</w:t>
        </w:r>
      </w:hyperlink>
    </w:p>
    <w:p w14:paraId="004FFE2F" w14:textId="77777777" w:rsidR="00903037" w:rsidRPr="00903037" w:rsidRDefault="00903037" w:rsidP="00903037">
      <w:pPr>
        <w:numPr>
          <w:ilvl w:val="0"/>
          <w:numId w:val="2"/>
        </w:numPr>
      </w:pPr>
      <w:r w:rsidRPr="00903037">
        <w:t xml:space="preserve">Artera reported more than 1,000 provider organizations, more than 200 million patients engaged and over two billion patient-to-provider communications annually. It also reported USD 100 million in contracted annual recurring revenue by the end of 2025. These are company-reported metrics, but they constitute concrete production evidence rather than pilot announcements. </w:t>
      </w:r>
      <w:hyperlink r:id="rId17" w:history="1">
        <w:r w:rsidRPr="00903037">
          <w:rPr>
            <w:rStyle w:val="Hyperlink"/>
          </w:rPr>
          <w:t>[memorialca...onfund.com]</w:t>
        </w:r>
      </w:hyperlink>
    </w:p>
    <w:p w14:paraId="17D70CA5" w14:textId="77777777" w:rsidR="00903037" w:rsidRPr="00903037" w:rsidRDefault="00903037" w:rsidP="00903037">
      <w:pPr>
        <w:numPr>
          <w:ilvl w:val="0"/>
          <w:numId w:val="2"/>
        </w:numPr>
      </w:pPr>
      <w:r w:rsidRPr="00903037">
        <w:t xml:space="preserve">Luma Health was used by more than 550 health systems, hospitals, federally qualified health centers and clinic networks when its 2021 investment was </w:t>
      </w:r>
      <w:r w:rsidRPr="00903037">
        <w:lastRenderedPageBreak/>
        <w:t xml:space="preserve">announced, with integrations across more than 80 EHR systems. A 2025 transaction report stated that the platform had expanded to more than 1,000 healthcare organizations and supported more than 100 million patients. </w:t>
      </w:r>
      <w:hyperlink r:id="rId18" w:history="1">
        <w:r w:rsidRPr="00903037">
          <w:rPr>
            <w:rStyle w:val="Hyperlink"/>
          </w:rPr>
          <w:t>[ftvcapital.com]</w:t>
        </w:r>
      </w:hyperlink>
      <w:r w:rsidRPr="00903037">
        <w:t xml:space="preserve">, </w:t>
      </w:r>
      <w:hyperlink r:id="rId19" w:history="1">
        <w:r w:rsidRPr="00903037">
          <w:rPr>
            <w:rStyle w:val="Hyperlink"/>
          </w:rPr>
          <w:t>[healthcare...ciates.com]</w:t>
        </w:r>
      </w:hyperlink>
    </w:p>
    <w:p w14:paraId="300CD8EE" w14:textId="77777777" w:rsidR="00903037" w:rsidRPr="00903037" w:rsidRDefault="00903037" w:rsidP="00903037">
      <w:pPr>
        <w:numPr>
          <w:ilvl w:val="0"/>
          <w:numId w:val="2"/>
        </w:numPr>
      </w:pPr>
      <w:r w:rsidRPr="00903037">
        <w:t xml:space="preserve">Innovaccer reported a platform footprint of more than 130 healthcare organizations, including six of the ten largest US health systems, and published a customer example in which UCHealth recorded a 79% increase in patient engagement. The scale metric is company-reported and the outcome should not be assumed to generalize across customers. </w:t>
      </w:r>
      <w:hyperlink r:id="rId20" w:history="1">
        <w:r w:rsidRPr="00903037">
          <w:rPr>
            <w:rStyle w:val="Hyperlink"/>
          </w:rPr>
          <w:t>[fiercehealthcare.com]</w:t>
        </w:r>
      </w:hyperlink>
      <w:r w:rsidRPr="00903037">
        <w:t xml:space="preserve">, </w:t>
      </w:r>
      <w:hyperlink r:id="rId21" w:history="1">
        <w:r w:rsidRPr="00903037">
          <w:rPr>
            <w:rStyle w:val="Hyperlink"/>
          </w:rPr>
          <w:t>[innovaccer.com]</w:t>
        </w:r>
      </w:hyperlink>
    </w:p>
    <w:p w14:paraId="77EAF323" w14:textId="77777777" w:rsidR="00903037" w:rsidRPr="00903037" w:rsidRDefault="00903037" w:rsidP="00903037">
      <w:pPr>
        <w:numPr>
          <w:ilvl w:val="0"/>
          <w:numId w:val="2"/>
        </w:numPr>
      </w:pPr>
      <w:r w:rsidRPr="00903037">
        <w:t xml:space="preserve">Practo reported more than 50 million patients served across more than 640 cities, more than 500,000 verified doctors and over 40 million structured data points in FY2025. It reported that 78% of telemedicine users who responded to its outcome measurement said they recovered within three weeks. The latter is a patient-reported metric, not a controlled clinical endpoint. </w:t>
      </w:r>
      <w:hyperlink r:id="rId22" w:history="1">
        <w:r w:rsidRPr="00903037">
          <w:rPr>
            <w:rStyle w:val="Hyperlink"/>
          </w:rPr>
          <w:t>[blog.practo.com]</w:t>
        </w:r>
      </w:hyperlink>
      <w:r w:rsidRPr="00903037">
        <w:t xml:space="preserve">, </w:t>
      </w:r>
      <w:hyperlink r:id="rId23" w:history="1">
        <w:r w:rsidRPr="00903037">
          <w:rPr>
            <w:rStyle w:val="Hyperlink"/>
          </w:rPr>
          <w:t>[practostatic.com]</w:t>
        </w:r>
      </w:hyperlink>
    </w:p>
    <w:p w14:paraId="0B7E7F7A" w14:textId="77777777" w:rsidR="00903037" w:rsidRPr="00903037" w:rsidRDefault="00903037" w:rsidP="00903037">
      <w:pPr>
        <w:rPr>
          <w:b/>
          <w:bCs/>
        </w:rPr>
      </w:pPr>
      <w:r w:rsidRPr="00903037">
        <w:rPr>
          <w:b/>
          <w:bCs/>
        </w:rPr>
        <w:t>Regulatory-clearance evidence</w:t>
      </w:r>
    </w:p>
    <w:p w14:paraId="0EED253E" w14:textId="77777777" w:rsidR="00903037" w:rsidRPr="00903037" w:rsidRDefault="00903037" w:rsidP="00903037">
      <w:r w:rsidRPr="00903037">
        <w:t xml:space="preserve">There is </w:t>
      </w:r>
      <w:r w:rsidRPr="00903037">
        <w:rPr>
          <w:b/>
          <w:bCs/>
        </w:rPr>
        <w:t>no authoritative FDA or CDSCO count specifically for “AI patient engagement and virtual care.”</w:t>
      </w:r>
      <w:r w:rsidRPr="00903037">
        <w:t xml:space="preserve"> The US Food and Drug Administration maintains an AI-enabled medical-device list, but explicitly says the list is not comprehensive and is identified partly through AI-related terms in authorization summaries. It is therefore not defensible to claim a specific number of FDA-cleared products in this sub-sector. </w:t>
      </w:r>
      <w:hyperlink r:id="rId24" w:history="1">
        <w:r w:rsidRPr="00903037">
          <w:rPr>
            <w:rStyle w:val="Hyperlink"/>
          </w:rPr>
          <w:t>[fda.gov]</w:t>
        </w:r>
      </w:hyperlink>
    </w:p>
    <w:p w14:paraId="3ABA7EA9" w14:textId="77777777" w:rsidR="00903037" w:rsidRPr="00903037" w:rsidRDefault="00903037" w:rsidP="00903037">
      <w:r w:rsidRPr="00903037">
        <w:t xml:space="preserve">The absence of a category-specific count is partly structural. Administrative support, healthy-lifestyle tools, electronic records, basic communication and certain clinician-reviewable decision-support functions may fall outside the FDA medical-device definition. Patient-facing software that diagnoses, treats or drives clinical management can become a regulated device. </w:t>
      </w:r>
      <w:hyperlink r:id="rId25" w:history="1">
        <w:r w:rsidRPr="00903037">
          <w:rPr>
            <w:rStyle w:val="Hyperlink"/>
          </w:rPr>
          <w:t>[congress.gov]</w:t>
        </w:r>
      </w:hyperlink>
    </w:p>
    <w:p w14:paraId="1F99E9A5" w14:textId="77777777" w:rsidR="00903037" w:rsidRPr="00903037" w:rsidRDefault="00903037" w:rsidP="00903037">
      <w:r w:rsidRPr="00903037">
        <w:t xml:space="preserve">A similar issue applies in India. Software used for diagnosis, prevention, monitoring or treatment may be regulated under the Medical Devices Rules, 2017, with risk classes ranging from Class A to Class D. Pure scheduling, messaging or administrative-engagement tools may not be regulated as medical devices. I found no public CDSCO database that provides a reliable sub-sector-specific clearance count. </w:t>
      </w:r>
      <w:hyperlink r:id="rId26" w:history="1">
        <w:r w:rsidRPr="00903037">
          <w:rPr>
            <w:rStyle w:val="Hyperlink"/>
          </w:rPr>
          <w:t>[cms.law]</w:t>
        </w:r>
      </w:hyperlink>
    </w:p>
    <w:p w14:paraId="6EA52705" w14:textId="77777777" w:rsidR="00903037" w:rsidRPr="00903037" w:rsidRDefault="00903037" w:rsidP="00903037">
      <w:r w:rsidRPr="00903037">
        <w:rPr>
          <w:b/>
          <w:bCs/>
        </w:rPr>
        <w:t>Maturity conclusion:</w:t>
      </w:r>
      <w:r w:rsidRPr="00903037">
        <w:t xml:space="preserve"> operational AI is proven-at-scale; clinically consequential, patient-facing AI remains validation-heavy. Investors should separate </w:t>
      </w:r>
      <w:r w:rsidRPr="00903037">
        <w:rPr>
          <w:b/>
          <w:bCs/>
        </w:rPr>
        <w:t>workflow automation revenue</w:t>
      </w:r>
      <w:r w:rsidRPr="00903037">
        <w:t xml:space="preserve"> from </w:t>
      </w:r>
      <w:r w:rsidRPr="00903037">
        <w:rPr>
          <w:b/>
          <w:bCs/>
        </w:rPr>
        <w:t>regulated clinical-AI revenue</w:t>
      </w:r>
      <w:r w:rsidRPr="00903037">
        <w:t xml:space="preserve"> in diligence.</w:t>
      </w:r>
    </w:p>
    <w:p w14:paraId="50D6E0FA" w14:textId="77777777" w:rsidR="00903037" w:rsidRPr="00903037" w:rsidRDefault="00903037" w:rsidP="00903037">
      <w:pPr>
        <w:rPr>
          <w:b/>
          <w:bCs/>
        </w:rPr>
      </w:pPr>
      <w:r w:rsidRPr="00903037">
        <w:rPr>
          <w:b/>
          <w:bCs/>
        </w:rPr>
        <w:lastRenderedPageBreak/>
        <w:t>3. Key Players</w:t>
      </w:r>
    </w:p>
    <w:p w14:paraId="5E81C1E4" w14:textId="77777777" w:rsidR="00903037" w:rsidRPr="00903037" w:rsidRDefault="00903037" w:rsidP="00903037">
      <w:pPr>
        <w:rPr>
          <w:b/>
          <w:bCs/>
        </w:rPr>
      </w:pPr>
      <w:r w:rsidRPr="00903037">
        <w:rPr>
          <w:b/>
          <w:bCs/>
        </w:rPr>
        <w:t>Teladoc Health</w:t>
      </w:r>
    </w:p>
    <w:p w14:paraId="32F83753" w14:textId="77777777" w:rsidR="00903037" w:rsidRPr="00903037" w:rsidRDefault="00903037" w:rsidP="00903037">
      <w:r w:rsidRPr="00903037">
        <w:t>Teladoc Health provides employer, payer and health-system virtual care across urgent care, primary care, chronic-condition management, mental health and expert medical services. Its AI and data capabilities are embedded in care navigation, connected-device programs and longitudinal member management rather than sold solely as a standalone patient chatbot.</w:t>
      </w:r>
    </w:p>
    <w:p w14:paraId="776F296A" w14:textId="77777777" w:rsidR="00903037" w:rsidRPr="00903037" w:rsidRDefault="00903037" w:rsidP="00903037">
      <w:r w:rsidRPr="00903037">
        <w:t xml:space="preserve">The company generated USD 2.53 billion in revenue in 2025, reported a USD 200.3 million net loss and provided care access to more than 100 million people in the United States. BetterHelp expanded insurance coverage to 20 states and Washington, DC, reaching more than 120 million covered lives through in-network agreements. </w:t>
      </w:r>
      <w:hyperlink r:id="rId27" w:history="1">
        <w:r w:rsidRPr="00903037">
          <w:rPr>
            <w:rStyle w:val="Hyperlink"/>
          </w:rPr>
          <w:t>[sec.gov]</w:t>
        </w:r>
      </w:hyperlink>
      <w:r w:rsidRPr="00903037">
        <w:t xml:space="preserve">, </w:t>
      </w:r>
      <w:hyperlink r:id="rId28" w:history="1">
        <w:r w:rsidRPr="00903037">
          <w:rPr>
            <w:rStyle w:val="Hyperlink"/>
          </w:rPr>
          <w:t>[ir.teladochealth.com]</w:t>
        </w:r>
      </w:hyperlink>
    </w:p>
    <w:p w14:paraId="7E94C589" w14:textId="77777777" w:rsidR="00903037" w:rsidRPr="00903037" w:rsidRDefault="00903037" w:rsidP="00903037">
      <w:r w:rsidRPr="00903037">
        <w:rPr>
          <w:b/>
          <w:bCs/>
        </w:rPr>
        <w:t>Ownership:</w:t>
      </w:r>
      <w:r w:rsidRPr="00903037">
        <w:t xml:space="preserve"> publicly listed on the New York Stock Exchange under TDOC. It is not PE-controlled.</w:t>
      </w:r>
    </w:p>
    <w:p w14:paraId="2C6B06B1" w14:textId="77777777" w:rsidR="00903037" w:rsidRPr="00903037" w:rsidRDefault="00903037" w:rsidP="00903037">
      <w:pPr>
        <w:rPr>
          <w:b/>
          <w:bCs/>
        </w:rPr>
      </w:pPr>
      <w:r w:rsidRPr="00903037">
        <w:rPr>
          <w:b/>
          <w:bCs/>
        </w:rPr>
        <w:t>Amwell</w:t>
      </w:r>
    </w:p>
    <w:p w14:paraId="20EC79C3" w14:textId="77777777" w:rsidR="00903037" w:rsidRPr="00903037" w:rsidRDefault="00903037" w:rsidP="00903037">
      <w:r w:rsidRPr="00903037">
        <w:t>Amwell supplies a white-label, subscription-based technology platform through which payers, health systems and government customers operate hybrid-care programs under their own brands. Its offering combines virtual visits, automated care, clinical programs, professional services, care-point devices and access to an affiliated clinician group.</w:t>
      </w:r>
    </w:p>
    <w:p w14:paraId="2B07EFEE" w14:textId="77777777" w:rsidR="00903037" w:rsidRPr="00903037" w:rsidRDefault="00903037" w:rsidP="00903037">
      <w:r w:rsidRPr="00903037">
        <w:t xml:space="preserve">For 2025, Amwell reported USD 249.3 million in revenue, USD 132.4 million of subscription revenue, 4.5 million visits and a USD 95.0 million net loss. It served approximately 50 health plans representing more than 90 million covered lives and approximately 80 major health systems. </w:t>
      </w:r>
      <w:hyperlink r:id="rId29" w:history="1">
        <w:r w:rsidRPr="00903037">
          <w:rPr>
            <w:rStyle w:val="Hyperlink"/>
          </w:rPr>
          <w:t>[publicnow.com]</w:t>
        </w:r>
      </w:hyperlink>
      <w:r w:rsidRPr="00903037">
        <w:t xml:space="preserve">, </w:t>
      </w:r>
      <w:hyperlink r:id="rId30" w:history="1">
        <w:r w:rsidRPr="00903037">
          <w:rPr>
            <w:rStyle w:val="Hyperlink"/>
          </w:rPr>
          <w:t>[investors.amwell.com]</w:t>
        </w:r>
      </w:hyperlink>
    </w:p>
    <w:p w14:paraId="6A8C38E0" w14:textId="77777777" w:rsidR="00903037" w:rsidRPr="00903037" w:rsidRDefault="00903037" w:rsidP="00903037">
      <w:r w:rsidRPr="00903037">
        <w:rPr>
          <w:b/>
          <w:bCs/>
        </w:rPr>
        <w:t>Ownership:</w:t>
      </w:r>
      <w:r w:rsidRPr="00903037">
        <w:t xml:space="preserve"> publicly listed on the New York Stock Exchange under AMWL. It is not PE-controlled.</w:t>
      </w:r>
    </w:p>
    <w:p w14:paraId="206EEB27" w14:textId="77777777" w:rsidR="00903037" w:rsidRPr="00903037" w:rsidRDefault="00903037" w:rsidP="00903037">
      <w:pPr>
        <w:rPr>
          <w:b/>
          <w:bCs/>
        </w:rPr>
      </w:pPr>
      <w:r w:rsidRPr="00903037">
        <w:rPr>
          <w:b/>
          <w:bCs/>
        </w:rPr>
        <w:t>Artera</w:t>
      </w:r>
    </w:p>
    <w:p w14:paraId="5A4001B8" w14:textId="77777777" w:rsidR="00903037" w:rsidRPr="00903037" w:rsidRDefault="00903037" w:rsidP="00903037">
      <w:r w:rsidRPr="00903037">
        <w:t>Artera focuses on patient communications and access. Its platform consolidates messaging across scheduling, intake, forms, billing and follow-up, while its virtual AI agents are intended to automate front-desk interactions. Its moat claim rests on EHR integration, healthcare-specific conversation history and distribution across provider organizations.</w:t>
      </w:r>
    </w:p>
    <w:p w14:paraId="648EE5C7" w14:textId="77777777" w:rsidR="00903037" w:rsidRPr="00903037" w:rsidRDefault="00903037" w:rsidP="00903037">
      <w:r w:rsidRPr="00903037">
        <w:t xml:space="preserve">The company reported more than 1,000 provider organizations, more than 200 million patients engaged, over two billion communications annually and USD 100 million in </w:t>
      </w:r>
      <w:r w:rsidRPr="00903037">
        <w:lastRenderedPageBreak/>
        <w:t xml:space="preserve">contracted annual recurring revenue by the end of 2025. It raised a USD 65 million growth investment in December 2025. </w:t>
      </w:r>
      <w:hyperlink r:id="rId31" w:history="1">
        <w:r w:rsidRPr="00903037">
          <w:rPr>
            <w:rStyle w:val="Hyperlink"/>
          </w:rPr>
          <w:t>[memorialca...onfund.com]</w:t>
        </w:r>
      </w:hyperlink>
    </w:p>
    <w:p w14:paraId="5911FFBF" w14:textId="77777777" w:rsidR="00903037" w:rsidRPr="00903037" w:rsidRDefault="00903037" w:rsidP="00903037">
      <w:r w:rsidRPr="00903037">
        <w:rPr>
          <w:b/>
          <w:bCs/>
        </w:rPr>
        <w:t>Ownership:</w:t>
      </w:r>
      <w:r w:rsidRPr="00903037">
        <w:t xml:space="preserve"> private and growth-equity/VC-backed. The 2025 round was led by Lead Edge Capital, with participation from Jackson Square Ventures, Health Velocity Capital, Heritage Medical Systems and Summation Health Ventures. The ownership percentage was not disclosed. </w:t>
      </w:r>
      <w:hyperlink r:id="rId32" w:history="1">
        <w:r w:rsidRPr="00903037">
          <w:rPr>
            <w:rStyle w:val="Hyperlink"/>
          </w:rPr>
          <w:t>[memorialca...onfund.com]</w:t>
        </w:r>
      </w:hyperlink>
      <w:r w:rsidRPr="00903037">
        <w:t xml:space="preserve">, </w:t>
      </w:r>
      <w:hyperlink r:id="rId33" w:history="1">
        <w:r w:rsidRPr="00903037">
          <w:rPr>
            <w:rStyle w:val="Hyperlink"/>
          </w:rPr>
          <w:t>[cbinsights.com]</w:t>
        </w:r>
      </w:hyperlink>
    </w:p>
    <w:p w14:paraId="228D3747" w14:textId="77777777" w:rsidR="00903037" w:rsidRPr="00903037" w:rsidRDefault="00903037" w:rsidP="00903037">
      <w:pPr>
        <w:rPr>
          <w:b/>
          <w:bCs/>
        </w:rPr>
      </w:pPr>
      <w:r w:rsidRPr="00903037">
        <w:rPr>
          <w:b/>
          <w:bCs/>
        </w:rPr>
        <w:t>Luma Health</w:t>
      </w:r>
    </w:p>
    <w:p w14:paraId="1E8E600F" w14:textId="77777777" w:rsidR="00903037" w:rsidRPr="00903037" w:rsidRDefault="00903037" w:rsidP="00903037">
      <w:r w:rsidRPr="00903037">
        <w:t>Luma Health automates the patient journey across appointment access, referrals, communication, intake, readiness, payments and follow-up. Its newer AI products use real-time scheduling capacity to support patient acquisition and help health systems convert open clinical capacity into booked care.</w:t>
      </w:r>
    </w:p>
    <w:p w14:paraId="5707DAF1" w14:textId="77777777" w:rsidR="00903037" w:rsidRPr="00903037" w:rsidRDefault="00903037" w:rsidP="00903037">
      <w:r w:rsidRPr="00903037">
        <w:t xml:space="preserve">Luma Health raised USD 130 million in a 2021 Series C, taking disclosed total funding to USD 160 million. At that time it served more than 550 healthcare organizations and integrated with more than 80 EHR systems. A 2025 transaction report stated that it had grown to more than 1,000 organizations and supported more than 100 million patients. </w:t>
      </w:r>
      <w:hyperlink r:id="rId34" w:history="1">
        <w:r w:rsidRPr="00903037">
          <w:rPr>
            <w:rStyle w:val="Hyperlink"/>
          </w:rPr>
          <w:t>[ftvcapital.com]</w:t>
        </w:r>
      </w:hyperlink>
      <w:r w:rsidRPr="00903037">
        <w:t xml:space="preserve">, </w:t>
      </w:r>
      <w:hyperlink r:id="rId35" w:history="1">
        <w:r w:rsidRPr="00903037">
          <w:rPr>
            <w:rStyle w:val="Hyperlink"/>
          </w:rPr>
          <w:t>[healthcare...ciates.com]</w:t>
        </w:r>
      </w:hyperlink>
    </w:p>
    <w:p w14:paraId="636731EE" w14:textId="77777777" w:rsidR="00903037" w:rsidRPr="00903037" w:rsidRDefault="00903037" w:rsidP="00903037">
      <w:r w:rsidRPr="00903037">
        <w:rPr>
          <w:b/>
          <w:bCs/>
        </w:rPr>
        <w:t>Ownership:</w:t>
      </w:r>
      <w:r w:rsidRPr="00903037">
        <w:t xml:space="preserve"> private and growth-equity-backed, led by FTV Capital. The investment stake and valuation were not disclosed. </w:t>
      </w:r>
      <w:hyperlink r:id="rId36" w:history="1">
        <w:r w:rsidRPr="00903037">
          <w:rPr>
            <w:rStyle w:val="Hyperlink"/>
          </w:rPr>
          <w:t>[ftvcapital.com]</w:t>
        </w:r>
      </w:hyperlink>
      <w:r w:rsidRPr="00903037">
        <w:t xml:space="preserve">, </w:t>
      </w:r>
      <w:hyperlink r:id="rId37" w:history="1">
        <w:r w:rsidRPr="00903037">
          <w:rPr>
            <w:rStyle w:val="Hyperlink"/>
          </w:rPr>
          <w:t>[ftvcapital.com]</w:t>
        </w:r>
      </w:hyperlink>
    </w:p>
    <w:p w14:paraId="08F36443" w14:textId="77777777" w:rsidR="00903037" w:rsidRPr="00903037" w:rsidRDefault="00903037" w:rsidP="00903037">
      <w:pPr>
        <w:rPr>
          <w:b/>
          <w:bCs/>
        </w:rPr>
      </w:pPr>
      <w:r w:rsidRPr="00903037">
        <w:rPr>
          <w:b/>
          <w:bCs/>
        </w:rPr>
        <w:t>Innovaccer</w:t>
      </w:r>
    </w:p>
    <w:p w14:paraId="7C5A07EC" w14:textId="77777777" w:rsidR="00903037" w:rsidRPr="00903037" w:rsidRDefault="00903037" w:rsidP="00903037">
      <w:r w:rsidRPr="00903037">
        <w:t>Innovaccer provides a healthcare data and intelligence platform that combines fragmented clinical, operational and financial information. Within patient engagement, it supports care management, contact-center workflows, patient outreach, appointment conversion and care-gap closure. Its strategic position is broader than pure-play engagement because the same data layer supports value-based care, documentation, utilization management and population health.</w:t>
      </w:r>
    </w:p>
    <w:p w14:paraId="24EEE1AC" w14:textId="77777777" w:rsidR="00903037" w:rsidRPr="00903037" w:rsidRDefault="00903037" w:rsidP="00903037">
      <w:r w:rsidRPr="00903037">
        <w:t xml:space="preserve">The company raised USD 275 million in January 2025 through a combination of primary and secondary capital. It reported more than 130 healthcare-organization customers, six of the ten largest US health systems, five consecutive years of 50% year-on-year revenue growth and positive cash flow in the fourth quarter of 2024. A reported post-money valuation for the primary financing was approximately USD 3.45 billion, but that valuation was attributed to unnamed sources and should be treated as </w:t>
      </w:r>
      <w:r w:rsidRPr="00903037">
        <w:rPr>
          <w:b/>
          <w:bCs/>
        </w:rPr>
        <w:t>lower-confidence</w:t>
      </w:r>
      <w:r w:rsidRPr="00903037">
        <w:t xml:space="preserve">. </w:t>
      </w:r>
      <w:hyperlink r:id="rId38" w:history="1">
        <w:r w:rsidRPr="00903037">
          <w:rPr>
            <w:rStyle w:val="Hyperlink"/>
          </w:rPr>
          <w:t>[fiercehealthcare.com]</w:t>
        </w:r>
      </w:hyperlink>
    </w:p>
    <w:p w14:paraId="7B543D8D" w14:textId="77777777" w:rsidR="00903037" w:rsidRPr="00903037" w:rsidRDefault="00903037" w:rsidP="00903037">
      <w:r w:rsidRPr="00903037">
        <w:rPr>
          <w:b/>
          <w:bCs/>
        </w:rPr>
        <w:t>Ownership:</w:t>
      </w:r>
      <w:r w:rsidRPr="00903037">
        <w:t xml:space="preserve"> private and institutionally backed by investors including B Capital Group, Kaiser Permanente, M12, Banner Health, Danaher Ventures and Generation Investment </w:t>
      </w:r>
      <w:r w:rsidRPr="00903037">
        <w:lastRenderedPageBreak/>
        <w:t xml:space="preserve">Management. No controlling shareholder or precise ownership percentages were disclosed. </w:t>
      </w:r>
      <w:hyperlink r:id="rId39" w:history="1">
        <w:r w:rsidRPr="00903037">
          <w:rPr>
            <w:rStyle w:val="Hyperlink"/>
          </w:rPr>
          <w:t>[fiercehealthcare.com]</w:t>
        </w:r>
      </w:hyperlink>
    </w:p>
    <w:p w14:paraId="69CA41A8" w14:textId="77777777" w:rsidR="00903037" w:rsidRPr="00903037" w:rsidRDefault="00903037" w:rsidP="00903037">
      <w:pPr>
        <w:rPr>
          <w:b/>
          <w:bCs/>
        </w:rPr>
      </w:pPr>
      <w:r w:rsidRPr="00903037">
        <w:rPr>
          <w:b/>
          <w:bCs/>
        </w:rPr>
        <w:t>Practo</w:t>
      </w:r>
    </w:p>
    <w:p w14:paraId="0F45B88E" w14:textId="77777777" w:rsidR="00903037" w:rsidRPr="00903037" w:rsidRDefault="00903037" w:rsidP="00903037">
      <w:r w:rsidRPr="00903037">
        <w:t>Practo is an Indian care-navigation and virtual-care platform spanning doctor discovery, appointment booking, online consultations, medicine and diagnostic access, digital records and provider practice-management software. Its AI priorities include smarter search, symptom triage, patient-provider matching, personalized navigation and clinician feedback.</w:t>
      </w:r>
    </w:p>
    <w:p w14:paraId="00C5CFFE" w14:textId="77777777" w:rsidR="00903037" w:rsidRPr="00903037" w:rsidRDefault="00903037" w:rsidP="00903037">
      <w:r w:rsidRPr="00903037">
        <w:t xml:space="preserve">For FY2025, Practo reported more than INR 35 billion of GMV, INR 2.34 billion in revenue and INR 150 million of operating EBITDA. It reported more than 50 million patients served in more than 640 cities and more than 500,000 verified doctors. </w:t>
      </w:r>
      <w:hyperlink r:id="rId40" w:history="1">
        <w:r w:rsidRPr="00903037">
          <w:rPr>
            <w:rStyle w:val="Hyperlink"/>
          </w:rPr>
          <w:t>[blog.practo.com]</w:t>
        </w:r>
      </w:hyperlink>
      <w:r w:rsidRPr="00903037">
        <w:t xml:space="preserve">, </w:t>
      </w:r>
      <w:hyperlink r:id="rId41" w:history="1">
        <w:r w:rsidRPr="00903037">
          <w:rPr>
            <w:rStyle w:val="Hyperlink"/>
          </w:rPr>
          <w:t>[practostatic.com]</w:t>
        </w:r>
      </w:hyperlink>
    </w:p>
    <w:p w14:paraId="3FC903C9" w14:textId="77777777" w:rsidR="00903037" w:rsidRPr="00903037" w:rsidRDefault="00903037" w:rsidP="00903037">
      <w:r w:rsidRPr="00903037">
        <w:rPr>
          <w:b/>
          <w:bCs/>
        </w:rPr>
        <w:t>Ownership:</w:t>
      </w:r>
      <w:r w:rsidRPr="00903037">
        <w:t xml:space="preserve"> private and VC-backed. Disclosed investors include Peak XV Partners, Tencent and Z47. Tracxn reports total funding of USD 231 million, but the company’s precise current cap table is not public. </w:t>
      </w:r>
      <w:hyperlink r:id="rId42" w:history="1">
        <w:r w:rsidRPr="00903037">
          <w:rPr>
            <w:rStyle w:val="Hyperlink"/>
          </w:rPr>
          <w:t>[tracxn.com]</w:t>
        </w:r>
      </w:hyperlink>
    </w:p>
    <w:p w14:paraId="1DA31EEC" w14:textId="77777777" w:rsidR="00903037" w:rsidRPr="00903037" w:rsidRDefault="00903037" w:rsidP="00903037">
      <w:pPr>
        <w:rPr>
          <w:b/>
          <w:bCs/>
        </w:rPr>
      </w:pPr>
      <w:r w:rsidRPr="00903037">
        <w:rPr>
          <w:b/>
          <w:bCs/>
        </w:rPr>
        <w:t>4. Porter’s Five Forces</w:t>
      </w:r>
    </w:p>
    <w:p w14:paraId="15E60E11" w14:textId="77777777" w:rsidR="00903037" w:rsidRPr="00903037" w:rsidRDefault="00903037" w:rsidP="00903037">
      <w:pPr>
        <w:rPr>
          <w:b/>
          <w:bCs/>
        </w:rPr>
      </w:pPr>
      <w:r w:rsidRPr="00903037">
        <w:rPr>
          <w:b/>
          <w:bCs/>
        </w:rPr>
        <w:t>Competitive rivalry: High</w:t>
      </w:r>
    </w:p>
    <w:p w14:paraId="35B65CD8" w14:textId="77777777" w:rsidR="00903037" w:rsidRPr="00903037" w:rsidRDefault="00903037" w:rsidP="00903037">
      <w:r w:rsidRPr="00903037">
        <w:t xml:space="preserve">Rivalry is high because the sub-sector contains several overlapping competitor groups: virtual-care operators, specialist patient-engagement platforms, EHR vendors, CRM vendors, payer-owned solutions and general-purpose conversational-AI providers. Teladoc Health’s 2025 revenue declined by 2% despite its scale, while Amwell remained loss-making, illustrating that production adoption does not automatically translate into strong pricing or margins. </w:t>
      </w:r>
      <w:hyperlink r:id="rId43" w:history="1">
        <w:r w:rsidRPr="00903037">
          <w:rPr>
            <w:rStyle w:val="Hyperlink"/>
          </w:rPr>
          <w:t>[ir.teladochealth.com]</w:t>
        </w:r>
      </w:hyperlink>
      <w:r w:rsidRPr="00903037">
        <w:t xml:space="preserve">, </w:t>
      </w:r>
      <w:hyperlink r:id="rId44" w:history="1">
        <w:r w:rsidRPr="00903037">
          <w:rPr>
            <w:rStyle w:val="Hyperlink"/>
          </w:rPr>
          <w:t>[investors.amwell.com]</w:t>
        </w:r>
      </w:hyperlink>
    </w:p>
    <w:p w14:paraId="3014ACED" w14:textId="77777777" w:rsidR="00903037" w:rsidRPr="00903037" w:rsidRDefault="00903037" w:rsidP="00903037">
      <w:r w:rsidRPr="00903037">
        <w:t>Differentiation is shifting away from basic video visits and messaging toward workflow depth, EHR integration, measurable capacity release, proprietary interaction data and the ability to manage clinical escalation. Basic conversational interfaces are increasingly commoditized.</w:t>
      </w:r>
    </w:p>
    <w:p w14:paraId="243ACD80" w14:textId="77777777" w:rsidR="00903037" w:rsidRPr="00903037" w:rsidRDefault="00903037" w:rsidP="00903037">
      <w:pPr>
        <w:rPr>
          <w:b/>
          <w:bCs/>
        </w:rPr>
      </w:pPr>
      <w:r w:rsidRPr="00903037">
        <w:rPr>
          <w:b/>
          <w:bCs/>
        </w:rPr>
        <w:t>Buyer power: High</w:t>
      </w:r>
    </w:p>
    <w:p w14:paraId="7EEA7353" w14:textId="77777777" w:rsidR="00903037" w:rsidRPr="00903037" w:rsidRDefault="00903037" w:rsidP="00903037">
      <w:r w:rsidRPr="00903037">
        <w:t>Health systems and payers are concentrated, procurement cycles are long and buyers can choose between best-of-breed tools, EHR-native modules and internally assembled solutions. Large buyers also demand security reviews, integration commitments, clinical-governance controls and measurable ROI.</w:t>
      </w:r>
    </w:p>
    <w:p w14:paraId="03573077" w14:textId="77777777" w:rsidR="00903037" w:rsidRPr="00903037" w:rsidRDefault="00903037" w:rsidP="00903037">
      <w:r w:rsidRPr="00903037">
        <w:lastRenderedPageBreak/>
        <w:t xml:space="preserve">The dependence on a limited number of large contracts is visible in Teladoc Health’s filings, which state that its five largest clients represented 19% of total revenue in 2025. </w:t>
      </w:r>
      <w:hyperlink r:id="rId45" w:history="1">
        <w:r w:rsidRPr="00903037">
          <w:rPr>
            <w:rStyle w:val="Hyperlink"/>
          </w:rPr>
          <w:t>[stocktitan.net]</w:t>
        </w:r>
      </w:hyperlink>
    </w:p>
    <w:p w14:paraId="42EAFBB4" w14:textId="77777777" w:rsidR="00903037" w:rsidRPr="00903037" w:rsidRDefault="00903037" w:rsidP="00903037">
      <w:r w:rsidRPr="00903037">
        <w:t>Buyer power is somewhat lower where a vendor becomes deeply embedded across scheduling, intake, messaging and care-management workflows, since replacement creates operational disruption and integration cost.</w:t>
      </w:r>
    </w:p>
    <w:p w14:paraId="4BC70441" w14:textId="77777777" w:rsidR="00903037" w:rsidRPr="00903037" w:rsidRDefault="00903037" w:rsidP="00903037">
      <w:pPr>
        <w:rPr>
          <w:b/>
          <w:bCs/>
        </w:rPr>
      </w:pPr>
      <w:r w:rsidRPr="00903037">
        <w:rPr>
          <w:b/>
          <w:bCs/>
        </w:rPr>
        <w:t>Supplier power: Medium to high</w:t>
      </w:r>
    </w:p>
    <w:p w14:paraId="2CFAFF9D" w14:textId="77777777" w:rsidR="00903037" w:rsidRPr="00903037" w:rsidRDefault="00903037" w:rsidP="00903037">
      <w:r w:rsidRPr="00903037">
        <w:t>Key suppliers include clinicians, EHR and scheduling-system vendors, cloud and foundation-model providers, communications networks and specialty data providers.</w:t>
      </w:r>
    </w:p>
    <w:p w14:paraId="342D073F" w14:textId="77777777" w:rsidR="00903037" w:rsidRPr="00903037" w:rsidRDefault="00903037" w:rsidP="00903037">
      <w:r w:rsidRPr="00903037">
        <w:t>Supplier power is high in virtual clinical services because clinician availability, credentialing and state-level licensure constrain supply. It is also material where an engagement platform depends on a small number of EHR APIs or model providers. Supplier power is lower for commodity messaging infrastructure, but messaging fees can still compress gross margins in high-volume contracts.</w:t>
      </w:r>
    </w:p>
    <w:p w14:paraId="3E7BD43A" w14:textId="77777777" w:rsidR="00903037" w:rsidRPr="00903037" w:rsidRDefault="00903037" w:rsidP="00903037">
      <w:pPr>
        <w:rPr>
          <w:b/>
          <w:bCs/>
        </w:rPr>
      </w:pPr>
      <w:r w:rsidRPr="00903037">
        <w:rPr>
          <w:b/>
          <w:bCs/>
        </w:rPr>
        <w:t>Threat of new entrants: Medium</w:t>
      </w:r>
    </w:p>
    <w:p w14:paraId="2F8994D4" w14:textId="77777777" w:rsidR="00903037" w:rsidRPr="00903037" w:rsidRDefault="00903037" w:rsidP="00903037">
      <w:r w:rsidRPr="00903037">
        <w:t>Entry barriers for a basic healthcare chatbot or scheduling interface are falling. However, achieving enterprise distribution requires security certifications, EHR integrations, healthcare-specific workflow libraries, multilingual and accessibility support, quality monitoring and credible escalation processes.</w:t>
      </w:r>
    </w:p>
    <w:p w14:paraId="4C1F6819" w14:textId="77777777" w:rsidR="00903037" w:rsidRPr="00903037" w:rsidRDefault="00903037" w:rsidP="00903037">
      <w:r w:rsidRPr="00903037">
        <w:t xml:space="preserve">Artera’s reported scale of over two billion annual communications and Luma Health’s integrations with more than 80 EHR systems illustrate the accumulated data and integration advantage of scaled incumbents. </w:t>
      </w:r>
      <w:hyperlink r:id="rId46" w:history="1">
        <w:r w:rsidRPr="00903037">
          <w:rPr>
            <w:rStyle w:val="Hyperlink"/>
          </w:rPr>
          <w:t>[memorialca...onfund.com]</w:t>
        </w:r>
      </w:hyperlink>
      <w:r w:rsidRPr="00903037">
        <w:t xml:space="preserve">, </w:t>
      </w:r>
      <w:hyperlink r:id="rId47" w:history="1">
        <w:r w:rsidRPr="00903037">
          <w:rPr>
            <w:rStyle w:val="Hyperlink"/>
          </w:rPr>
          <w:t>[ftvcapital.com]</w:t>
        </w:r>
      </w:hyperlink>
    </w:p>
    <w:p w14:paraId="6BE9742D" w14:textId="77777777" w:rsidR="00903037" w:rsidRPr="00903037" w:rsidRDefault="00903037" w:rsidP="00903037">
      <w:r w:rsidRPr="00903037">
        <w:t>The threat is therefore high at the feature level but medium at the enterprise-platform level.</w:t>
      </w:r>
    </w:p>
    <w:p w14:paraId="761ACE2B" w14:textId="77777777" w:rsidR="00903037" w:rsidRPr="00903037" w:rsidRDefault="00903037" w:rsidP="00903037">
      <w:pPr>
        <w:rPr>
          <w:b/>
          <w:bCs/>
        </w:rPr>
      </w:pPr>
      <w:r w:rsidRPr="00903037">
        <w:rPr>
          <w:b/>
          <w:bCs/>
        </w:rPr>
        <w:t>Threat of substitutes: High</w:t>
      </w:r>
    </w:p>
    <w:p w14:paraId="7D643025" w14:textId="77777777" w:rsidR="00903037" w:rsidRPr="00903037" w:rsidRDefault="00903037" w:rsidP="00903037">
      <w:r w:rsidRPr="00903037">
        <w:t>Substitutes include telephone call centers, patient portals, EHR-native messaging, in-person visits, outsourced clinical-service providers and horizontal communications platforms. For lower-complexity workflows, buyers can automate selected tasks without purchasing a full patient-engagement platform.</w:t>
      </w:r>
    </w:p>
    <w:p w14:paraId="0797E445" w14:textId="77777777" w:rsidR="00903037" w:rsidRPr="00903037" w:rsidRDefault="00903037" w:rsidP="00903037">
      <w:r w:rsidRPr="00903037">
        <w:t>The largest strategic substitute is the EHR vendor bundling comparable functionality into an existing enterprise agreement. Independent vendors must therefore demonstrate superior conversion, reduced call volume, lower no-show rates, released staff capacity or improved care-gap closure.</w:t>
      </w:r>
    </w:p>
    <w:p w14:paraId="691CE309" w14:textId="77777777" w:rsidR="00903037" w:rsidRPr="00903037" w:rsidRDefault="00903037" w:rsidP="00903037">
      <w:pPr>
        <w:rPr>
          <w:b/>
          <w:bCs/>
        </w:rPr>
      </w:pPr>
      <w:r w:rsidRPr="00903037">
        <w:rPr>
          <w:b/>
          <w:bCs/>
        </w:rPr>
        <w:lastRenderedPageBreak/>
        <w:t>5. PE Firms Present, Stakes, and Strategic Vision</w:t>
      </w:r>
    </w:p>
    <w:p w14:paraId="143EC469" w14:textId="77777777" w:rsidR="00903037" w:rsidRPr="00903037" w:rsidRDefault="00903037" w:rsidP="00903037">
      <w:pPr>
        <w:rPr>
          <w:b/>
          <w:bCs/>
        </w:rPr>
      </w:pPr>
      <w:r w:rsidRPr="00903037">
        <w:rPr>
          <w:b/>
          <w:bCs/>
        </w:rPr>
        <w:t>FTV Capital and Luma Health</w:t>
      </w:r>
    </w:p>
    <w:p w14:paraId="4701B873" w14:textId="77777777" w:rsidR="00903037" w:rsidRPr="00903037" w:rsidRDefault="00903037" w:rsidP="00903037">
      <w:r w:rsidRPr="00903037">
        <w:t xml:space="preserve">FTV Capital led a USD 130 million Series C investment in Luma Health in November 2021. The round brought total disclosed funding to USD 160 million. The ownership stake and valuation were not disclosed. </w:t>
      </w:r>
      <w:hyperlink r:id="rId48" w:history="1">
        <w:r w:rsidRPr="00903037">
          <w:rPr>
            <w:rStyle w:val="Hyperlink"/>
          </w:rPr>
          <w:t>[ftvcapital.com]</w:t>
        </w:r>
      </w:hyperlink>
    </w:p>
    <w:p w14:paraId="280DF87C" w14:textId="77777777" w:rsidR="00903037" w:rsidRPr="00903037" w:rsidRDefault="00903037" w:rsidP="00903037">
      <w:r w:rsidRPr="00903037">
        <w:t xml:space="preserve">FTV’s stated thesis was that patient access and engagement were large, underpenetrated opportunities, that the patient journey was fragmented and that providers needed an end-to-end platform delivering a unified experience. The value-creation strategy therefore appears to be enterprise penetration, product-suite expansion, EHR integration and international scaling. </w:t>
      </w:r>
      <w:hyperlink r:id="rId49" w:history="1">
        <w:r w:rsidRPr="00903037">
          <w:rPr>
            <w:rStyle w:val="Hyperlink"/>
          </w:rPr>
          <w:t>[ftvcapital.com]</w:t>
        </w:r>
      </w:hyperlink>
    </w:p>
    <w:p w14:paraId="3B026552" w14:textId="77777777" w:rsidR="00903037" w:rsidRPr="00903037" w:rsidRDefault="00903037" w:rsidP="00903037">
      <w:pPr>
        <w:rPr>
          <w:b/>
          <w:bCs/>
        </w:rPr>
      </w:pPr>
      <w:r w:rsidRPr="00903037">
        <w:rPr>
          <w:b/>
          <w:bCs/>
        </w:rPr>
        <w:t>Lead Edge Capital and Artera</w:t>
      </w:r>
    </w:p>
    <w:p w14:paraId="65F5BE13" w14:textId="77777777" w:rsidR="00903037" w:rsidRPr="00903037" w:rsidRDefault="00903037" w:rsidP="00903037">
      <w:r w:rsidRPr="00903037">
        <w:t xml:space="preserve">Lead Edge Capital led a USD 65 million growth investment in Artera in December 2025. Existing and strategic investors also participated. The stake and valuation were not publicly disclosed. </w:t>
      </w:r>
      <w:hyperlink r:id="rId50" w:history="1">
        <w:r w:rsidRPr="00903037">
          <w:rPr>
            <w:rStyle w:val="Hyperlink"/>
          </w:rPr>
          <w:t>[memorialca...onfund.com]</w:t>
        </w:r>
      </w:hyperlink>
      <w:r w:rsidRPr="00903037">
        <w:t xml:space="preserve">, </w:t>
      </w:r>
      <w:hyperlink r:id="rId51" w:history="1">
        <w:r w:rsidRPr="00903037">
          <w:rPr>
            <w:rStyle w:val="Hyperlink"/>
          </w:rPr>
          <w:t>[cbinsights.com]</w:t>
        </w:r>
      </w:hyperlink>
    </w:p>
    <w:p w14:paraId="1F89BD17" w14:textId="77777777" w:rsidR="00903037" w:rsidRPr="00903037" w:rsidRDefault="00903037" w:rsidP="00903037">
      <w:r w:rsidRPr="00903037">
        <w:t xml:space="preserve">The inferred thesis is to use Artera’s installed provider base, communication dataset and distribution to deploy agentic-AI products across scheduling, intake, forms and billing. Management explicitly argued that model technology alone would commoditize and that data, distribution and domain experience would determine winners. </w:t>
      </w:r>
      <w:hyperlink r:id="rId52" w:history="1">
        <w:r w:rsidRPr="00903037">
          <w:rPr>
            <w:rStyle w:val="Hyperlink"/>
          </w:rPr>
          <w:t>[memorialca...onfund.com]</w:t>
        </w:r>
      </w:hyperlink>
    </w:p>
    <w:p w14:paraId="0227DB33" w14:textId="77777777" w:rsidR="00903037" w:rsidRPr="00903037" w:rsidRDefault="00903037" w:rsidP="00903037">
      <w:pPr>
        <w:rPr>
          <w:b/>
          <w:bCs/>
        </w:rPr>
      </w:pPr>
      <w:r w:rsidRPr="00903037">
        <w:rPr>
          <w:b/>
          <w:bCs/>
        </w:rPr>
        <w:t>Welsh, Carson, Anderson &amp; Stowe and GetWellNetwork</w:t>
      </w:r>
    </w:p>
    <w:p w14:paraId="4E10DDB6" w14:textId="77777777" w:rsidR="00903037" w:rsidRPr="00903037" w:rsidRDefault="00903037" w:rsidP="00903037">
      <w:r w:rsidRPr="00903037">
        <w:t xml:space="preserve">Welsh, Carson, Anderson &amp; Stowe completed the acquisition of GetWellNetwork in January 2013. Deal value and ownership percentage were not disclosed. At acquisition, the platform was deployed across more than 30,000 hospital beds and facilitated more than seven million patient interactions annually. </w:t>
      </w:r>
      <w:hyperlink r:id="rId53" w:history="1">
        <w:r w:rsidRPr="00903037">
          <w:rPr>
            <w:rStyle w:val="Hyperlink"/>
          </w:rPr>
          <w:t>[healthdata...gement.com]</w:t>
        </w:r>
      </w:hyperlink>
      <w:r w:rsidRPr="00903037">
        <w:t xml:space="preserve">, </w:t>
      </w:r>
      <w:hyperlink r:id="rId54" w:history="1">
        <w:r w:rsidRPr="00903037">
          <w:rPr>
            <w:rStyle w:val="Hyperlink"/>
          </w:rPr>
          <w:t>[businesswire.com]</w:t>
        </w:r>
      </w:hyperlink>
    </w:p>
    <w:p w14:paraId="78167312" w14:textId="77777777" w:rsidR="00903037" w:rsidRPr="00903037" w:rsidRDefault="00903037" w:rsidP="00903037">
      <w:r w:rsidRPr="00903037">
        <w:t xml:space="preserve">The stated thesis was to expand and differentiate the patient-engagement platform and deepen services for healthcare-provider customers. The product’s integration with electronic medical records and patient portals also supported a platform-expansion thesis rather than a standalone bedside-content investment. </w:t>
      </w:r>
      <w:hyperlink r:id="rId55" w:history="1">
        <w:r w:rsidRPr="00903037">
          <w:rPr>
            <w:rStyle w:val="Hyperlink"/>
          </w:rPr>
          <w:t>[freshtrackscap.com]</w:t>
        </w:r>
      </w:hyperlink>
      <w:r w:rsidRPr="00903037">
        <w:t xml:space="preserve">, </w:t>
      </w:r>
      <w:hyperlink r:id="rId56" w:history="1">
        <w:r w:rsidRPr="00903037">
          <w:rPr>
            <w:rStyle w:val="Hyperlink"/>
          </w:rPr>
          <w:t>[businesswire.com]</w:t>
        </w:r>
      </w:hyperlink>
    </w:p>
    <w:p w14:paraId="10497639" w14:textId="77777777" w:rsidR="00903037" w:rsidRPr="00903037" w:rsidRDefault="00903037" w:rsidP="00903037">
      <w:pPr>
        <w:rPr>
          <w:b/>
          <w:bCs/>
        </w:rPr>
      </w:pPr>
      <w:r w:rsidRPr="00903037">
        <w:rPr>
          <w:b/>
          <w:bCs/>
        </w:rPr>
        <w:t>Growth investors in Innovaccer</w:t>
      </w:r>
    </w:p>
    <w:p w14:paraId="6D4925C5" w14:textId="77777777" w:rsidR="00903037" w:rsidRPr="00903037" w:rsidRDefault="00903037" w:rsidP="00903037">
      <w:r w:rsidRPr="00903037">
        <w:t xml:space="preserve">The January 2025 USD 275 million financing included B Capital Group, Generation Investment Management, Kaiser Permanente, M12, Banner Health and Danaher Ventures. </w:t>
      </w:r>
      <w:r w:rsidRPr="00903037">
        <w:lastRenderedPageBreak/>
        <w:t xml:space="preserve">This was a combination of primary and secondary capital. Individual stakes were not disclosed. </w:t>
      </w:r>
      <w:hyperlink r:id="rId57" w:history="1">
        <w:r w:rsidRPr="00903037">
          <w:rPr>
            <w:rStyle w:val="Hyperlink"/>
          </w:rPr>
          <w:t>[fiercehealthcare.com]</w:t>
        </w:r>
      </w:hyperlink>
    </w:p>
    <w:p w14:paraId="2A3AF832" w14:textId="77777777" w:rsidR="00903037" w:rsidRPr="00903037" w:rsidRDefault="00903037" w:rsidP="00903037">
      <w:r w:rsidRPr="00903037">
        <w:t xml:space="preserve">The stated use of proceeds covered deeper customer collaboration, new AI and cloud capabilities, acquisitions and an expanded developer ecosystem. The value-creation thesis is broader than patient engagement and is best described as building a healthcare-data operating layer through which multiple AI agents can be distributed. </w:t>
      </w:r>
      <w:hyperlink r:id="rId58" w:history="1">
        <w:r w:rsidRPr="00903037">
          <w:rPr>
            <w:rStyle w:val="Hyperlink"/>
          </w:rPr>
          <w:t>[fiercehealthcare.com]</w:t>
        </w:r>
      </w:hyperlink>
    </w:p>
    <w:p w14:paraId="335052EF" w14:textId="77777777" w:rsidR="00903037" w:rsidRPr="00903037" w:rsidRDefault="00903037" w:rsidP="00903037">
      <w:pPr>
        <w:rPr>
          <w:b/>
          <w:bCs/>
        </w:rPr>
      </w:pPr>
      <w:r w:rsidRPr="00903037">
        <w:rPr>
          <w:b/>
          <w:bCs/>
        </w:rPr>
        <w:t>India-specific observation</w:t>
      </w:r>
    </w:p>
    <w:p w14:paraId="2B8A5A37" w14:textId="77777777" w:rsidR="00903037" w:rsidRPr="00903037" w:rsidRDefault="00903037" w:rsidP="00903037">
      <w:r w:rsidRPr="00903037">
        <w:t xml:space="preserve">I found substantial VC participation in Indian virtual-care platforms, including Peak XV Partners, Tencent and Z47 in Practo, but </w:t>
      </w:r>
      <w:r w:rsidRPr="00903037">
        <w:rPr>
          <w:b/>
          <w:bCs/>
        </w:rPr>
        <w:t>no reliably disclosed recent controlling PE buyout of a scaled, pure-play Indian AI patient-engagement or virtual-care platform</w:t>
      </w:r>
      <w:r w:rsidRPr="00903037">
        <w:t>. This may reflect founder ownership, immature EBITDA, business-model overlap with pharmacy and diagnostics and buyer preference for hospital or provider-platform assets rather than standalone engagement software. The absence of a disclosed deal should not be interpreted as proof that no private transactions have occurred.</w:t>
      </w:r>
    </w:p>
    <w:p w14:paraId="75B3BD14" w14:textId="77777777" w:rsidR="00903037" w:rsidRPr="00903037" w:rsidRDefault="00903037" w:rsidP="00903037">
      <w:pPr>
        <w:rPr>
          <w:b/>
          <w:bCs/>
        </w:rPr>
      </w:pPr>
      <w:r w:rsidRPr="00903037">
        <w:rPr>
          <w:b/>
          <w:bCs/>
        </w:rPr>
        <w:t>6. Regulatory Context (US + India)</w:t>
      </w:r>
    </w:p>
    <w:p w14:paraId="0B69A4F3" w14:textId="77777777" w:rsidR="00903037" w:rsidRPr="00903037" w:rsidRDefault="00903037" w:rsidP="00903037">
      <w:pPr>
        <w:rPr>
          <w:b/>
          <w:bCs/>
        </w:rPr>
      </w:pPr>
      <w:r w:rsidRPr="00903037">
        <w:rPr>
          <w:b/>
          <w:bCs/>
        </w:rPr>
        <w:t>United States</w:t>
      </w:r>
    </w:p>
    <w:p w14:paraId="6EE9BB57" w14:textId="77777777" w:rsidR="00903037" w:rsidRPr="00903037" w:rsidRDefault="00903037" w:rsidP="00903037">
      <w:pPr>
        <w:rPr>
          <w:b/>
          <w:bCs/>
        </w:rPr>
      </w:pPr>
      <w:r w:rsidRPr="00903037">
        <w:rPr>
          <w:b/>
          <w:bCs/>
        </w:rPr>
        <w:t>FDA jurisdiction</w:t>
      </w:r>
    </w:p>
    <w:p w14:paraId="17C4FA3C" w14:textId="77777777" w:rsidR="00903037" w:rsidRPr="00903037" w:rsidRDefault="00903037" w:rsidP="00903037">
      <w:r w:rsidRPr="00903037">
        <w:t xml:space="preserve">The US Food and Drug Administration regulates software when its intended use meets the statutory definition of a medical device. Administrative support, basic records functions, healthy-lifestyle tools and some clinician-reviewable clinical decision support can be excluded. Patient-facing AI that diagnoses, treats or drives clinical management is more likely to require a 510(k), De Novo or premarket-approval pathway. </w:t>
      </w:r>
      <w:hyperlink r:id="rId59" w:history="1">
        <w:r w:rsidRPr="00903037">
          <w:rPr>
            <w:rStyle w:val="Hyperlink"/>
          </w:rPr>
          <w:t>[congress.gov]</w:t>
        </w:r>
      </w:hyperlink>
    </w:p>
    <w:p w14:paraId="7AC08C8F" w14:textId="77777777" w:rsidR="00903037" w:rsidRPr="00903037" w:rsidRDefault="00903037" w:rsidP="00903037">
      <w:r w:rsidRPr="00903037">
        <w:t xml:space="preserve">In August 2025, the FDA issued final guidance on predetermined change-control plans for AI-enabled device software. A PCCP may describe planned model modifications, the development and validation methodology and the impact assessment, enabling specified changes without a separate marketing submission for each modification. This is relevant to adaptive triage, monitoring or clinically consequential engagement products. </w:t>
      </w:r>
      <w:hyperlink r:id="rId60" w:history="1">
        <w:r w:rsidRPr="00903037">
          <w:rPr>
            <w:rStyle w:val="Hyperlink"/>
          </w:rPr>
          <w:t>[fda.gov]</w:t>
        </w:r>
      </w:hyperlink>
      <w:r w:rsidRPr="00903037">
        <w:t xml:space="preserve">, </w:t>
      </w:r>
      <w:hyperlink r:id="rId61" w:history="1">
        <w:r w:rsidRPr="00903037">
          <w:rPr>
            <w:rStyle w:val="Hyperlink"/>
          </w:rPr>
          <w:t>[fda.gov]</w:t>
        </w:r>
      </w:hyperlink>
    </w:p>
    <w:p w14:paraId="47DD5611" w14:textId="77777777" w:rsidR="00903037" w:rsidRPr="00903037" w:rsidRDefault="00903037" w:rsidP="00903037">
      <w:pPr>
        <w:rPr>
          <w:b/>
          <w:bCs/>
        </w:rPr>
      </w:pPr>
      <w:r w:rsidRPr="00903037">
        <w:rPr>
          <w:b/>
          <w:bCs/>
        </w:rPr>
        <w:t>Telehealth reimbursement</w:t>
      </w:r>
    </w:p>
    <w:p w14:paraId="113B976E" w14:textId="77777777" w:rsidR="00903037" w:rsidRPr="00903037" w:rsidRDefault="00903037" w:rsidP="00903037">
      <w:r w:rsidRPr="00903037">
        <w:t xml:space="preserve">Federal legislation extended several Medicare telehealth flexibilities through December 31, 2027. These include home-based access for non-behavioral telehealth, removal of </w:t>
      </w:r>
      <w:r w:rsidRPr="00903037">
        <w:lastRenderedPageBreak/>
        <w:t xml:space="preserve">geographic originating-site restrictions, continued eligibility for a broad set of providers and use of audio-only delivery in specified circumstances. </w:t>
      </w:r>
      <w:hyperlink r:id="rId62" w:history="1">
        <w:r w:rsidRPr="00903037">
          <w:rPr>
            <w:rStyle w:val="Hyperlink"/>
          </w:rPr>
          <w:t>[telehealth.hhs.gov]</w:t>
        </w:r>
      </w:hyperlink>
    </w:p>
    <w:p w14:paraId="362D14DA" w14:textId="77777777" w:rsidR="00903037" w:rsidRPr="00903037" w:rsidRDefault="00903037" w:rsidP="00903037">
      <w:r w:rsidRPr="00903037">
        <w:t>This extension reduces near-term reimbursement-cliff risk for virtual-care assets, but it does not guarantee permanent economics beyond 2027. Underwriting should differentiate recurring software fees from encounter revenue dependent on temporary reimbursement rules.</w:t>
      </w:r>
    </w:p>
    <w:p w14:paraId="7A85CA61" w14:textId="77777777" w:rsidR="00903037" w:rsidRPr="00903037" w:rsidRDefault="00903037" w:rsidP="00903037">
      <w:pPr>
        <w:rPr>
          <w:b/>
          <w:bCs/>
        </w:rPr>
      </w:pPr>
      <w:r w:rsidRPr="00903037">
        <w:rPr>
          <w:b/>
          <w:bCs/>
        </w:rPr>
        <w:t>Privacy, security and state practice rules</w:t>
      </w:r>
    </w:p>
    <w:p w14:paraId="79B1ED9C" w14:textId="77777777" w:rsidR="00903037" w:rsidRPr="00903037" w:rsidRDefault="00903037" w:rsidP="00903037">
      <w:r w:rsidRPr="00903037">
        <w:t>Virtual-care operators may be subject to HIPAA when acting for covered entities or business associates, alongside state privacy, breach-notification, consumer-protection, medical-licensure and prescribing requirements. FDA status does not replace these obligations. Multi-state clinical businesses also face physician-licensing and corporate-practice-of-medicine complexity.</w:t>
      </w:r>
    </w:p>
    <w:p w14:paraId="39F57BF9" w14:textId="77777777" w:rsidR="00903037" w:rsidRPr="00903037" w:rsidRDefault="00903037" w:rsidP="00903037">
      <w:pPr>
        <w:rPr>
          <w:b/>
          <w:bCs/>
        </w:rPr>
      </w:pPr>
      <w:r w:rsidRPr="00903037">
        <w:rPr>
          <w:b/>
          <w:bCs/>
        </w:rPr>
        <w:t>India</w:t>
      </w:r>
    </w:p>
    <w:p w14:paraId="19A1D481" w14:textId="77777777" w:rsidR="00903037" w:rsidRPr="00903037" w:rsidRDefault="00903037" w:rsidP="00903037">
      <w:pPr>
        <w:rPr>
          <w:b/>
          <w:bCs/>
        </w:rPr>
      </w:pPr>
      <w:r w:rsidRPr="00903037">
        <w:rPr>
          <w:b/>
          <w:bCs/>
        </w:rPr>
        <w:t>Telemedicine practice</w:t>
      </w:r>
    </w:p>
    <w:p w14:paraId="7062128E" w14:textId="77777777" w:rsidR="00903037" w:rsidRPr="00903037" w:rsidRDefault="00903037" w:rsidP="00903037">
      <w:r w:rsidRPr="00903037">
        <w:t xml:space="preserve">India’s core framework remains the Telemedicine Practice Guidelines issued in March 2020 and overseen through the medical-regulatory structure now led by the National Medical Commission. The guidelines establish that registered medical practitioners may provide teleconsultations, subject to identification, consent, professional standards, documentation and prescribing restrictions. </w:t>
      </w:r>
      <w:hyperlink r:id="rId63" w:history="1">
        <w:r w:rsidRPr="00903037">
          <w:rPr>
            <w:rStyle w:val="Hyperlink"/>
          </w:rPr>
          <w:t>[doccure.io]</w:t>
        </w:r>
      </w:hyperlink>
    </w:p>
    <w:p w14:paraId="7D6ECC8A" w14:textId="77777777" w:rsidR="00903037" w:rsidRPr="00903037" w:rsidRDefault="00903037" w:rsidP="00903037">
      <w:pPr>
        <w:rPr>
          <w:b/>
          <w:bCs/>
        </w:rPr>
      </w:pPr>
      <w:r w:rsidRPr="00903037">
        <w:rPr>
          <w:b/>
          <w:bCs/>
        </w:rPr>
        <w:t>Medical-device regulation</w:t>
      </w:r>
    </w:p>
    <w:p w14:paraId="1EA9CD2F" w14:textId="77777777" w:rsidR="00903037" w:rsidRPr="00903037" w:rsidRDefault="00903037" w:rsidP="00903037">
      <w:r w:rsidRPr="00903037">
        <w:t xml:space="preserve">Software intended for diagnosis, prevention, monitoring, treatment or alleviation can be regulated as a medical device under the Drugs and Cosmetics Act framework and the Medical Devices Rules, 2017. Risk classification ranges from Class A to Class D, with registration or licensing requirements depending on classification and use. </w:t>
      </w:r>
      <w:hyperlink r:id="rId64" w:history="1">
        <w:r w:rsidRPr="00903037">
          <w:rPr>
            <w:rStyle w:val="Hyperlink"/>
          </w:rPr>
          <w:t>[cms.law]</w:t>
        </w:r>
      </w:hyperlink>
    </w:p>
    <w:p w14:paraId="73315212" w14:textId="77777777" w:rsidR="00903037" w:rsidRPr="00903037" w:rsidRDefault="00903037" w:rsidP="00903037">
      <w:pPr>
        <w:rPr>
          <w:b/>
          <w:bCs/>
        </w:rPr>
      </w:pPr>
      <w:r w:rsidRPr="00903037">
        <w:rPr>
          <w:b/>
          <w:bCs/>
        </w:rPr>
        <w:t>Data protection</w:t>
      </w:r>
    </w:p>
    <w:p w14:paraId="4626801D" w14:textId="77777777" w:rsidR="00903037" w:rsidRPr="00903037" w:rsidRDefault="00903037" w:rsidP="00903037">
      <w:r w:rsidRPr="00903037">
        <w:t xml:space="preserve">The Government of India notified the Digital Personal Data Protection Rules in November 2025, operationalizing the Digital Personal Data Protection Act, 2023 on a phased basis. The rules address notices, consent, data-principal rights, grievance handling and organizational responsibility for digital personal data. </w:t>
      </w:r>
      <w:hyperlink r:id="rId65" w:history="1">
        <w:r w:rsidRPr="00903037">
          <w:rPr>
            <w:rStyle w:val="Hyperlink"/>
          </w:rPr>
          <w:t>[static.pib.gov.in]</w:t>
        </w:r>
      </w:hyperlink>
      <w:r w:rsidRPr="00903037">
        <w:t xml:space="preserve">, </w:t>
      </w:r>
      <w:hyperlink r:id="rId66" w:history="1">
        <w:r w:rsidRPr="00903037">
          <w:rPr>
            <w:rStyle w:val="Hyperlink"/>
          </w:rPr>
          <w:t>[dpdpa.com]</w:t>
        </w:r>
      </w:hyperlink>
    </w:p>
    <w:p w14:paraId="4E0DB0E0" w14:textId="77777777" w:rsidR="00903037" w:rsidRPr="00903037" w:rsidRDefault="00903037" w:rsidP="00903037">
      <w:r w:rsidRPr="00903037">
        <w:t xml:space="preserve">Implementation is phased. Certain provisions commenced upon notification, Rule 4 is scheduled to take effect one year after publication, and Rules 3, 5–16, 22 and 23 are scheduled to take effect eighteen months after publication. This creates a near-term </w:t>
      </w:r>
      <w:r w:rsidRPr="00903037">
        <w:lastRenderedPageBreak/>
        <w:t xml:space="preserve">compliance-investment requirement for consent architecture, processor contracts, breach processes, deletion workflows and patient-rights handling. </w:t>
      </w:r>
      <w:hyperlink r:id="rId67" w:history="1">
        <w:r w:rsidRPr="00903037">
          <w:rPr>
            <w:rStyle w:val="Hyperlink"/>
          </w:rPr>
          <w:t>[dpdpa.com]</w:t>
        </w:r>
      </w:hyperlink>
      <w:r w:rsidRPr="00903037">
        <w:t xml:space="preserve">, </w:t>
      </w:r>
      <w:hyperlink r:id="rId68" w:history="1">
        <w:r w:rsidRPr="00903037">
          <w:rPr>
            <w:rStyle w:val="Hyperlink"/>
          </w:rPr>
          <w:t>[dsci.in]</w:t>
        </w:r>
      </w:hyperlink>
    </w:p>
    <w:p w14:paraId="7E476121" w14:textId="77777777" w:rsidR="00903037" w:rsidRPr="00903037" w:rsidRDefault="00903037" w:rsidP="00903037">
      <w:r w:rsidRPr="00903037">
        <w:rPr>
          <w:b/>
          <w:bCs/>
        </w:rPr>
        <w:t>Investment implication:</w:t>
      </w:r>
      <w:r w:rsidRPr="00903037">
        <w:t xml:space="preserve"> the regulatory burden is bifurcated. Administrative engagement tools carry lower device-regulatory risk but significant privacy and cybersecurity exposure; clinically directive AI can trigger both medical-device obligations and professional-liability risk.</w:t>
      </w:r>
    </w:p>
    <w:p w14:paraId="13663470" w14:textId="77777777" w:rsidR="00903037" w:rsidRPr="00903037" w:rsidRDefault="00903037" w:rsidP="00903037">
      <w:pPr>
        <w:rPr>
          <w:b/>
          <w:bCs/>
        </w:rPr>
      </w:pPr>
      <w:r w:rsidRPr="00903037">
        <w:rPr>
          <w:b/>
          <w:bCs/>
        </w:rPr>
        <w:t>7. Risk Factors</w:t>
      </w:r>
    </w:p>
    <w:p w14:paraId="52F6737E" w14:textId="77777777" w:rsidR="00903037" w:rsidRPr="00903037" w:rsidRDefault="00903037" w:rsidP="00903037">
      <w:pPr>
        <w:rPr>
          <w:b/>
          <w:bCs/>
        </w:rPr>
      </w:pPr>
      <w:r w:rsidRPr="00903037">
        <w:rPr>
          <w:b/>
          <w:bCs/>
        </w:rPr>
        <w:t>Workflow AI crosses into unlicensed or unapproved clinical practice</w:t>
      </w:r>
    </w:p>
    <w:p w14:paraId="53B99B90" w14:textId="77777777" w:rsidR="00903037" w:rsidRPr="00903037" w:rsidRDefault="00903037" w:rsidP="00903037">
      <w:r w:rsidRPr="00903037">
        <w:t xml:space="preserve">A scheduling or communication assistant can become clinically consequential if it prioritizes symptoms, changes medication instructions or delays escalation. That can change its FDA or CDSCO status and expose the platform, clinician and provider customer to liability. The mechanism is product-scope expansion without corresponding validation, labeling and governance. </w:t>
      </w:r>
      <w:hyperlink r:id="rId69" w:history="1">
        <w:r w:rsidRPr="00903037">
          <w:rPr>
            <w:rStyle w:val="Hyperlink"/>
          </w:rPr>
          <w:t>[congress.gov]</w:t>
        </w:r>
      </w:hyperlink>
      <w:r w:rsidRPr="00903037">
        <w:t xml:space="preserve">, </w:t>
      </w:r>
      <w:hyperlink r:id="rId70" w:history="1">
        <w:r w:rsidRPr="00903037">
          <w:rPr>
            <w:rStyle w:val="Hyperlink"/>
          </w:rPr>
          <w:t>[cms.law]</w:t>
        </w:r>
      </w:hyperlink>
    </w:p>
    <w:p w14:paraId="1291C7A5" w14:textId="77777777" w:rsidR="00903037" w:rsidRPr="00903037" w:rsidRDefault="00903037" w:rsidP="00903037">
      <w:pPr>
        <w:rPr>
          <w:b/>
          <w:bCs/>
        </w:rPr>
      </w:pPr>
      <w:r w:rsidRPr="00903037">
        <w:rPr>
          <w:b/>
          <w:bCs/>
        </w:rPr>
        <w:t>EHR vendors or horizontal AI providers commoditize the feature layer</w:t>
      </w:r>
    </w:p>
    <w:p w14:paraId="7DA4C0BB" w14:textId="77777777" w:rsidR="00903037" w:rsidRPr="00903037" w:rsidRDefault="00903037" w:rsidP="00903037">
      <w:r w:rsidRPr="00903037">
        <w:t>Basic messaging, summarization and conversational interfaces are increasingly reproducible. If EHR vendors bundle these capabilities into existing contracts, independent platforms could face lower win rates, price compression and higher customer-acquisition costs. Defensibility must come from workflow ownership, integrations, outcome data and distribution rather than the language model itself.</w:t>
      </w:r>
    </w:p>
    <w:p w14:paraId="3482C430" w14:textId="77777777" w:rsidR="00903037" w:rsidRPr="00903037" w:rsidRDefault="00903037" w:rsidP="00903037">
      <w:pPr>
        <w:rPr>
          <w:b/>
          <w:bCs/>
        </w:rPr>
      </w:pPr>
      <w:r w:rsidRPr="00903037">
        <w:rPr>
          <w:b/>
          <w:bCs/>
        </w:rPr>
        <w:t>Engagement volume fails to convert into economic or clinical value</w:t>
      </w:r>
    </w:p>
    <w:p w14:paraId="17AD41D4" w14:textId="77777777" w:rsidR="00903037" w:rsidRPr="00903037" w:rsidRDefault="00903037" w:rsidP="00903037">
      <w:r w:rsidRPr="00903037">
        <w:t>High message counts or app registrations do not prove reduced no-shows, higher utilization of appropriate care, better adherence or lower cost. Customers may decline renewals if a solution adds digital interactions but does not release staff capacity or improve measurable outcomes. Diligence should reconcile automated contacts to completed appointments, closed care gaps, avoided calls and attributable contribution margin.</w:t>
      </w:r>
    </w:p>
    <w:p w14:paraId="6CC31411" w14:textId="77777777" w:rsidR="00903037" w:rsidRPr="00903037" w:rsidRDefault="00903037" w:rsidP="00903037">
      <w:pPr>
        <w:rPr>
          <w:b/>
          <w:bCs/>
        </w:rPr>
      </w:pPr>
      <w:r w:rsidRPr="00903037">
        <w:rPr>
          <w:b/>
          <w:bCs/>
        </w:rPr>
        <w:t>Reimbursement and utilization exposure</w:t>
      </w:r>
    </w:p>
    <w:p w14:paraId="12E5B6E8" w14:textId="77777777" w:rsidR="00903037" w:rsidRPr="00903037" w:rsidRDefault="00903037" w:rsidP="00903037">
      <w:r w:rsidRPr="00903037">
        <w:t xml:space="preserve">Virtual-care service revenue can be sensitive to reimbursement rules, employer benefit budgets and consumer-acquisition costs. While Medicare flexibilities are extended through December 31, 2027, the long-term reimbursement position for every modality is not guaranteed. </w:t>
      </w:r>
      <w:hyperlink r:id="rId71" w:history="1">
        <w:r w:rsidRPr="00903037">
          <w:rPr>
            <w:rStyle w:val="Hyperlink"/>
          </w:rPr>
          <w:t>[telehealth.hhs.gov]</w:t>
        </w:r>
      </w:hyperlink>
    </w:p>
    <w:p w14:paraId="11A696F6" w14:textId="77777777" w:rsidR="00903037" w:rsidRPr="00903037" w:rsidRDefault="00903037" w:rsidP="00903037">
      <w:r w:rsidRPr="00903037">
        <w:t xml:space="preserve">Teladoc Health’s 2025 revenue decline and continued net loss demonstrate that category growth does not ensure profitable growth for scaled operators. </w:t>
      </w:r>
      <w:hyperlink r:id="rId72" w:history="1">
        <w:r w:rsidRPr="00903037">
          <w:rPr>
            <w:rStyle w:val="Hyperlink"/>
          </w:rPr>
          <w:t>[ir.teladochealth.com]</w:t>
        </w:r>
      </w:hyperlink>
    </w:p>
    <w:p w14:paraId="3EFA0314" w14:textId="77777777" w:rsidR="00903037" w:rsidRPr="00903037" w:rsidRDefault="00903037" w:rsidP="00903037">
      <w:pPr>
        <w:rPr>
          <w:b/>
          <w:bCs/>
        </w:rPr>
      </w:pPr>
      <w:r w:rsidRPr="00903037">
        <w:rPr>
          <w:b/>
          <w:bCs/>
        </w:rPr>
        <w:lastRenderedPageBreak/>
        <w:t>Privacy, cybersecurity and model-governance failure</w:t>
      </w:r>
    </w:p>
    <w:p w14:paraId="1854FA73" w14:textId="77777777" w:rsidR="00903037" w:rsidRPr="00903037" w:rsidRDefault="00903037" w:rsidP="00903037">
      <w:r w:rsidRPr="00903037">
        <w:t xml:space="preserve">Patient-engagement products process identity, symptoms, appointments, communications, prescriptions and sometimes payment data. A breach or model-output failure can lead to regulatory action, customer termination and loss of patient trust. India’s phased DPDP implementation also creates execution risk for platforms with legacy consent and data-retention architectures. </w:t>
      </w:r>
      <w:hyperlink r:id="rId73" w:history="1">
        <w:r w:rsidRPr="00903037">
          <w:rPr>
            <w:rStyle w:val="Hyperlink"/>
          </w:rPr>
          <w:t>[static.pib.gov.in]</w:t>
        </w:r>
      </w:hyperlink>
      <w:r w:rsidRPr="00903037">
        <w:t xml:space="preserve">, </w:t>
      </w:r>
      <w:hyperlink r:id="rId74" w:history="1">
        <w:r w:rsidRPr="00903037">
          <w:rPr>
            <w:rStyle w:val="Hyperlink"/>
          </w:rPr>
          <w:t>[dpdpa.com]</w:t>
        </w:r>
      </w:hyperlink>
    </w:p>
    <w:p w14:paraId="0F18BBA3" w14:textId="77777777" w:rsidR="00903037" w:rsidRPr="00903037" w:rsidRDefault="00903037" w:rsidP="00903037">
      <w:pPr>
        <w:rPr>
          <w:b/>
          <w:bCs/>
        </w:rPr>
      </w:pPr>
      <w:r w:rsidRPr="00903037">
        <w:rPr>
          <w:b/>
          <w:bCs/>
        </w:rPr>
        <w:t>8. PE Attractiveness Verdict</w:t>
      </w:r>
    </w:p>
    <w:p w14:paraId="42E315FC" w14:textId="77777777" w:rsidR="00903037" w:rsidRPr="00903037" w:rsidRDefault="00903037" w:rsidP="00903037">
      <w:r w:rsidRPr="00903037">
        <w:rPr>
          <w:b/>
          <w:bCs/>
        </w:rPr>
        <w:t>Selective.</w:t>
      </w:r>
      <w:r w:rsidRPr="00903037">
        <w:t xml:space="preserve"> Patient engagement and virtual care is attractive where the target owns a deeply integrated workflow layer, has recurring enterprise revenue, demonstrates production deployment rather than pilots, and can link automation to booked capacity, lower call-center effort, reduced no-shows or improved care-gap closure. Market growth around 20% globally and 25% in India is supportive, but market definitions are inconsistent and should not be the basis of valuation. The best PE targets are likely to be profitable or near-profitable B2B platforms with multi-EHR integration, strong net retention, governed clinical escalation and room for add-on acquisitions. Avoid high-burn, undifferentiated teleconsultation marketplaces and AI-chatbot assets whose moat rests mainly on a third-party model. Accordingly, this is not a broad “deploy now” segment, but a </w:t>
      </w:r>
      <w:r w:rsidRPr="00903037">
        <w:rPr>
          <w:b/>
          <w:bCs/>
        </w:rPr>
        <w:t>selective platform and workflow-ownership opportunity</w:t>
      </w:r>
      <w:r w:rsidRPr="00903037">
        <w:t xml:space="preserve"> with meaningful buy-and-build potential. </w:t>
      </w:r>
      <w:hyperlink r:id="rId75" w:history="1">
        <w:r w:rsidRPr="00903037">
          <w:rPr>
            <w:rStyle w:val="Hyperlink"/>
          </w:rPr>
          <w:t>[thebusines...ompany.com]</w:t>
        </w:r>
      </w:hyperlink>
      <w:r w:rsidRPr="00903037">
        <w:t xml:space="preserve">, </w:t>
      </w:r>
      <w:hyperlink r:id="rId76" w:history="1">
        <w:r w:rsidRPr="00903037">
          <w:rPr>
            <w:rStyle w:val="Hyperlink"/>
          </w:rPr>
          <w:t>[grandviewr...search.com]</w:t>
        </w:r>
      </w:hyperlink>
      <w:r w:rsidRPr="00903037">
        <w:t xml:space="preserve">, </w:t>
      </w:r>
      <w:hyperlink r:id="rId77" w:history="1">
        <w:r w:rsidRPr="00903037">
          <w:rPr>
            <w:rStyle w:val="Hyperlink"/>
          </w:rPr>
          <w:t>[grandviewr...search.com]</w:t>
        </w:r>
      </w:hyperlink>
    </w:p>
    <w:p w14:paraId="7B946850" w14:textId="77777777" w:rsidR="00AE71F0" w:rsidRDefault="00AE71F0"/>
    <w:sectPr w:rsidR="00AE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0C6A"/>
    <w:multiLevelType w:val="multilevel"/>
    <w:tmpl w:val="FEA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E6CEC"/>
    <w:multiLevelType w:val="multilevel"/>
    <w:tmpl w:val="C176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07963">
    <w:abstractNumId w:val="0"/>
  </w:num>
  <w:num w:numId="2" w16cid:durableId="578562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037"/>
    <w:rsid w:val="000B6152"/>
    <w:rsid w:val="00513609"/>
    <w:rsid w:val="00903037"/>
    <w:rsid w:val="00AE71F0"/>
    <w:rsid w:val="00CB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8C9E"/>
  <w15:chartTrackingRefBased/>
  <w15:docId w15:val="{A062591F-6386-470C-97E5-A8C9D30D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037"/>
    <w:rPr>
      <w:rFonts w:eastAsiaTheme="majorEastAsia" w:cstheme="majorBidi"/>
      <w:color w:val="272727" w:themeColor="text1" w:themeTint="D8"/>
    </w:rPr>
  </w:style>
  <w:style w:type="paragraph" w:styleId="Title">
    <w:name w:val="Title"/>
    <w:basedOn w:val="Normal"/>
    <w:next w:val="Normal"/>
    <w:link w:val="TitleChar"/>
    <w:uiPriority w:val="10"/>
    <w:qFormat/>
    <w:rsid w:val="00903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037"/>
    <w:pPr>
      <w:spacing w:before="160"/>
      <w:jc w:val="center"/>
    </w:pPr>
    <w:rPr>
      <w:i/>
      <w:iCs/>
      <w:color w:val="404040" w:themeColor="text1" w:themeTint="BF"/>
    </w:rPr>
  </w:style>
  <w:style w:type="character" w:customStyle="1" w:styleId="QuoteChar">
    <w:name w:val="Quote Char"/>
    <w:basedOn w:val="DefaultParagraphFont"/>
    <w:link w:val="Quote"/>
    <w:uiPriority w:val="29"/>
    <w:rsid w:val="00903037"/>
    <w:rPr>
      <w:i/>
      <w:iCs/>
      <w:color w:val="404040" w:themeColor="text1" w:themeTint="BF"/>
    </w:rPr>
  </w:style>
  <w:style w:type="paragraph" w:styleId="ListParagraph">
    <w:name w:val="List Paragraph"/>
    <w:basedOn w:val="Normal"/>
    <w:uiPriority w:val="34"/>
    <w:qFormat/>
    <w:rsid w:val="00903037"/>
    <w:pPr>
      <w:ind w:left="720"/>
      <w:contextualSpacing/>
    </w:pPr>
  </w:style>
  <w:style w:type="character" w:styleId="IntenseEmphasis">
    <w:name w:val="Intense Emphasis"/>
    <w:basedOn w:val="DefaultParagraphFont"/>
    <w:uiPriority w:val="21"/>
    <w:qFormat/>
    <w:rsid w:val="00903037"/>
    <w:rPr>
      <w:i/>
      <w:iCs/>
      <w:color w:val="0F4761" w:themeColor="accent1" w:themeShade="BF"/>
    </w:rPr>
  </w:style>
  <w:style w:type="paragraph" w:styleId="IntenseQuote">
    <w:name w:val="Intense Quote"/>
    <w:basedOn w:val="Normal"/>
    <w:next w:val="Normal"/>
    <w:link w:val="IntenseQuoteChar"/>
    <w:uiPriority w:val="30"/>
    <w:qFormat/>
    <w:rsid w:val="00903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037"/>
    <w:rPr>
      <w:i/>
      <w:iCs/>
      <w:color w:val="0F4761" w:themeColor="accent1" w:themeShade="BF"/>
    </w:rPr>
  </w:style>
  <w:style w:type="character" w:styleId="IntenseReference">
    <w:name w:val="Intense Reference"/>
    <w:basedOn w:val="DefaultParagraphFont"/>
    <w:uiPriority w:val="32"/>
    <w:qFormat/>
    <w:rsid w:val="00903037"/>
    <w:rPr>
      <w:b/>
      <w:bCs/>
      <w:smallCaps/>
      <w:color w:val="0F4761" w:themeColor="accent1" w:themeShade="BF"/>
      <w:spacing w:val="5"/>
    </w:rPr>
  </w:style>
  <w:style w:type="character" w:styleId="Hyperlink">
    <w:name w:val="Hyperlink"/>
    <w:basedOn w:val="DefaultParagraphFont"/>
    <w:uiPriority w:val="99"/>
    <w:unhideWhenUsed/>
    <w:rsid w:val="00903037"/>
    <w:rPr>
      <w:color w:val="467886" w:themeColor="hyperlink"/>
      <w:u w:val="single"/>
    </w:rPr>
  </w:style>
  <w:style w:type="character" w:styleId="UnresolvedMention">
    <w:name w:val="Unresolved Mention"/>
    <w:basedOn w:val="DefaultParagraphFont"/>
    <w:uiPriority w:val="99"/>
    <w:semiHidden/>
    <w:unhideWhenUsed/>
    <w:rsid w:val="00903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ms.law/en/int/expert-guides/cms-expert-guide-to-digital-health-apps-and-telemedicine/india" TargetMode="External"/><Relationship Id="rId21" Type="http://schemas.openxmlformats.org/officeDocument/2006/relationships/hyperlink" Target="https://innovaccer.com/customer/customer-stories" TargetMode="External"/><Relationship Id="rId42" Type="http://schemas.openxmlformats.org/officeDocument/2006/relationships/hyperlink" Target="https://tracxn.com/d/companies/practo/__0uxiUB0hKXY_a6UEhx19vRLE0X4vYKWpcVF6IHSgoT8" TargetMode="External"/><Relationship Id="rId47" Type="http://schemas.openxmlformats.org/officeDocument/2006/relationships/hyperlink" Target="https://ftvcapital.com/2021/luma-health-raises-130-million-in-series-c-funding-to-unify-automate-and-transform-patients-healthcare-journeys/" TargetMode="External"/><Relationship Id="rId63" Type="http://schemas.openxmlformats.org/officeDocument/2006/relationships/hyperlink" Target="https://doccure.io/telemedicine-guidelines-and-regulations-in-india-updated-for-2026/" TargetMode="External"/><Relationship Id="rId68" Type="http://schemas.openxmlformats.org/officeDocument/2006/relationships/hyperlink" Target="https://www.dsci.in/files/content/documents/2025/Digital-Personal-Data-Protection-Rules-2025.pdf" TargetMode="External"/><Relationship Id="rId16" Type="http://schemas.openxmlformats.org/officeDocument/2006/relationships/hyperlink" Target="https://www.publicnow.com/view/93DE09420335E8563531B61430634A7C8C5FC68B" TargetMode="External"/><Relationship Id="rId11" Type="http://schemas.openxmlformats.org/officeDocument/2006/relationships/hyperlink" Target="https://www.marketsandmarkets.com/Market-Reports/us-patient-engagement-solutions-market-129872705.html" TargetMode="External"/><Relationship Id="rId24" Type="http://schemas.openxmlformats.org/officeDocument/2006/relationships/hyperlink" Target="https://www.fda.gov/medical-devices/software-medical-device-samd/artificial-intelligence-enabled-medical-devices" TargetMode="External"/><Relationship Id="rId32" Type="http://schemas.openxmlformats.org/officeDocument/2006/relationships/hyperlink" Target="https://memorialcareinnovationfund.com/artera-clinches-65m-in-funding-to-build-out-ai-agents-for-patient-communication/" TargetMode="External"/><Relationship Id="rId37" Type="http://schemas.openxmlformats.org/officeDocument/2006/relationships/hyperlink" Target="https://ftvcapital.com/portfolio-item/luma-health/" TargetMode="External"/><Relationship Id="rId40" Type="http://schemas.openxmlformats.org/officeDocument/2006/relationships/hyperlink" Target="https://blog.practo.com/fy25-recap-a-year-of-profitability-progress-and-purpose/" TargetMode="External"/><Relationship Id="rId45" Type="http://schemas.openxmlformats.org/officeDocument/2006/relationships/hyperlink" Target="https://www.stocktitan.net/sec-filings/TDOC/10-k-teladoc-health-inc-files-annual-report-affeb2a15834.html" TargetMode="External"/><Relationship Id="rId53" Type="http://schemas.openxmlformats.org/officeDocument/2006/relationships/hyperlink" Target="https://www.healthdatamanagement.com/news/equity-firm-acquires-hospital-vendor-getwellnetwork" TargetMode="External"/><Relationship Id="rId58" Type="http://schemas.openxmlformats.org/officeDocument/2006/relationships/hyperlink" Target="https://www.fiercehealthcare.com/health-tech/innovaccer-clinches-275m-series-f-funding-build-out-ai-cloud-capabilities" TargetMode="External"/><Relationship Id="rId66" Type="http://schemas.openxmlformats.org/officeDocument/2006/relationships/hyperlink" Target="https://www.dpdpa.com/DPDP_Rules_2025_English_only.pdf" TargetMode="External"/><Relationship Id="rId74" Type="http://schemas.openxmlformats.org/officeDocument/2006/relationships/hyperlink" Target="https://www.dpdpa.com/DPDP_Rules_2025_English_only.pdf" TargetMode="External"/><Relationship Id="rId79" Type="http://schemas.openxmlformats.org/officeDocument/2006/relationships/theme" Target="theme/theme1.xml"/><Relationship Id="rId5" Type="http://schemas.openxmlformats.org/officeDocument/2006/relationships/hyperlink" Target="https://www.thebusinessresearchcompany.com/report/ai-in-patient-engagement-global-market-report" TargetMode="External"/><Relationship Id="rId61" Type="http://schemas.openxmlformats.org/officeDocument/2006/relationships/hyperlink" Target="https://www.fda.gov/media/166704/download" TargetMode="External"/><Relationship Id="rId19" Type="http://schemas.openxmlformats.org/officeDocument/2006/relationships/hyperlink" Target="https://healthcare.levinassociates.com/2025/11/13/luma-health-takes-over-tonic-health/" TargetMode="External"/><Relationship Id="rId14" Type="http://schemas.openxmlformats.org/officeDocument/2006/relationships/hyperlink" Target="https://www.sec.gov/Archives/edgar/data/1477449/000147744926000022/a2025annualreport.pdf" TargetMode="External"/><Relationship Id="rId22" Type="http://schemas.openxmlformats.org/officeDocument/2006/relationships/hyperlink" Target="https://blog.practo.com/fy25-recap-a-year-of-profitability-progress-and-purpose/" TargetMode="External"/><Relationship Id="rId27" Type="http://schemas.openxmlformats.org/officeDocument/2006/relationships/hyperlink" Target="https://www.sec.gov/Archives/edgar/data/1477449/000147744926000022/a2025annualreport.pdf" TargetMode="External"/><Relationship Id="rId30" Type="http://schemas.openxmlformats.org/officeDocument/2006/relationships/hyperlink" Target="https://investors.amwell.com/static-files/026f461c-5dcd-4415-beaf-80fee1c7d367" TargetMode="External"/><Relationship Id="rId35" Type="http://schemas.openxmlformats.org/officeDocument/2006/relationships/hyperlink" Target="https://healthcare.levinassociates.com/2025/11/13/luma-health-takes-over-tonic-health/" TargetMode="External"/><Relationship Id="rId43" Type="http://schemas.openxmlformats.org/officeDocument/2006/relationships/hyperlink" Target="https://ir.teladochealth.com/news-and-events/investor-news/press-release-details/2026/Teladoc-Health-Reports-Fourth-Quarter-and-Full-Year-2025-Results/default.aspx" TargetMode="External"/><Relationship Id="rId48" Type="http://schemas.openxmlformats.org/officeDocument/2006/relationships/hyperlink" Target="https://ftvcapital.com/2021/luma-health-raises-130-million-in-series-c-funding-to-unify-automate-and-transform-patients-healthcare-journeys/" TargetMode="External"/><Relationship Id="rId56" Type="http://schemas.openxmlformats.org/officeDocument/2006/relationships/hyperlink" Target="https://www.businesswire.com/news/home/20130103005615/en/Welsh-Carson-Anderson-Stowe-Completes-Acquisition-GetWellNetwork" TargetMode="External"/><Relationship Id="rId64" Type="http://schemas.openxmlformats.org/officeDocument/2006/relationships/hyperlink" Target="https://cms.law/en/int/expert-guides/cms-expert-guide-to-digital-health-apps-and-telemedicine/india" TargetMode="External"/><Relationship Id="rId69" Type="http://schemas.openxmlformats.org/officeDocument/2006/relationships/hyperlink" Target="https://www.congress.gov/crs_external_products/IF/PDF/IF13245/IF13245.1.pdf" TargetMode="External"/><Relationship Id="rId77" Type="http://schemas.openxmlformats.org/officeDocument/2006/relationships/hyperlink" Target="https://www.grandviewresearch.com/horizon/outlook/ai-in-patient-engagement-market/india" TargetMode="External"/><Relationship Id="rId8" Type="http://schemas.openxmlformats.org/officeDocument/2006/relationships/hyperlink" Target="https://www.grandviewresearch.com/industry-analysis/artificial-intelligence-ai-patient-engagement-market-report" TargetMode="External"/><Relationship Id="rId51" Type="http://schemas.openxmlformats.org/officeDocument/2006/relationships/hyperlink" Target="https://www.cbinsights.com/company/artera-2/financials" TargetMode="External"/><Relationship Id="rId72" Type="http://schemas.openxmlformats.org/officeDocument/2006/relationships/hyperlink" Target="https://ir.teladochealth.com/news-and-events/investor-news/press-release-details/2026/Teladoc-Health-Reports-Fourth-Quarter-and-Full-Year-2025-Results/default.aspx" TargetMode="External"/><Relationship Id="rId3" Type="http://schemas.openxmlformats.org/officeDocument/2006/relationships/settings" Target="settings.xml"/><Relationship Id="rId12" Type="http://schemas.openxmlformats.org/officeDocument/2006/relationships/hyperlink" Target="https://www.marketsandmarkets.com/Market-Reports/geography/patient-experience-technology-market/india" TargetMode="External"/><Relationship Id="rId17" Type="http://schemas.openxmlformats.org/officeDocument/2006/relationships/hyperlink" Target="https://memorialcareinnovationfund.com/artera-clinches-65m-in-funding-to-build-out-ai-agents-for-patient-communication/" TargetMode="External"/><Relationship Id="rId25" Type="http://schemas.openxmlformats.org/officeDocument/2006/relationships/hyperlink" Target="https://www.congress.gov/crs_external_products/IF/PDF/IF13245/IF13245.1.pdf" TargetMode="External"/><Relationship Id="rId33" Type="http://schemas.openxmlformats.org/officeDocument/2006/relationships/hyperlink" Target="https://www.cbinsights.com/company/artera-2/financials" TargetMode="External"/><Relationship Id="rId38" Type="http://schemas.openxmlformats.org/officeDocument/2006/relationships/hyperlink" Target="https://www.fiercehealthcare.com/health-tech/innovaccer-clinches-275m-series-f-funding-build-out-ai-cloud-capabilities" TargetMode="External"/><Relationship Id="rId46" Type="http://schemas.openxmlformats.org/officeDocument/2006/relationships/hyperlink" Target="https://memorialcareinnovationfund.com/artera-clinches-65m-in-funding-to-build-out-ai-agents-for-patient-communication/" TargetMode="External"/><Relationship Id="rId59" Type="http://schemas.openxmlformats.org/officeDocument/2006/relationships/hyperlink" Target="https://www.congress.gov/crs_external_products/IF/PDF/IF13245/IF13245.1.pdf" TargetMode="External"/><Relationship Id="rId67" Type="http://schemas.openxmlformats.org/officeDocument/2006/relationships/hyperlink" Target="https://www.dpdpa.com/DPDP_Rules_2025_English_only.pdf" TargetMode="External"/><Relationship Id="rId20" Type="http://schemas.openxmlformats.org/officeDocument/2006/relationships/hyperlink" Target="https://www.fiercehealthcare.com/health-tech/innovaccer-clinches-275m-series-f-funding-build-out-ai-cloud-capabilities" TargetMode="External"/><Relationship Id="rId41" Type="http://schemas.openxmlformats.org/officeDocument/2006/relationships/hyperlink" Target="https://www.practostatic.com/company/letters/2025-practo-annual-letter.pdf" TargetMode="External"/><Relationship Id="rId54" Type="http://schemas.openxmlformats.org/officeDocument/2006/relationships/hyperlink" Target="https://www.businesswire.com/news/home/20130103005615/en/Welsh-Carson-Anderson-Stowe-Completes-Acquisition-GetWellNetwork" TargetMode="External"/><Relationship Id="rId62" Type="http://schemas.openxmlformats.org/officeDocument/2006/relationships/hyperlink" Target="https://telehealth.hhs.gov/providers/telehealth-policy/telehealth-policy-updates" TargetMode="External"/><Relationship Id="rId70" Type="http://schemas.openxmlformats.org/officeDocument/2006/relationships/hyperlink" Target="https://cms.law/en/int/expert-guides/cms-expert-guide-to-digital-health-apps-and-telemedicine/india" TargetMode="External"/><Relationship Id="rId75" Type="http://schemas.openxmlformats.org/officeDocument/2006/relationships/hyperlink" Target="https://www.thebusinessresearchcompany.com/report/ai-in-patient-engagement-global-market-report" TargetMode="External"/><Relationship Id="rId1" Type="http://schemas.openxmlformats.org/officeDocument/2006/relationships/numbering" Target="numbering.xml"/><Relationship Id="rId6" Type="http://schemas.openxmlformats.org/officeDocument/2006/relationships/hyperlink" Target="https://www.grandviewresearch.com/horizon/outlook/ai-in-patient-engagement-market/united-states" TargetMode="External"/><Relationship Id="rId15" Type="http://schemas.openxmlformats.org/officeDocument/2006/relationships/hyperlink" Target="https://ir.teladochealth.com/news-and-events/investor-news/press-release-details/2026/Teladoc-Health-Reports-Fourth-Quarter-and-Full-Year-2025-Results/default.aspx" TargetMode="External"/><Relationship Id="rId23" Type="http://schemas.openxmlformats.org/officeDocument/2006/relationships/hyperlink" Target="https://www.practostatic.com/company/letters/2025-practo-annual-letter.pdf" TargetMode="External"/><Relationship Id="rId28" Type="http://schemas.openxmlformats.org/officeDocument/2006/relationships/hyperlink" Target="https://ir.teladochealth.com/news-and-events/investor-news/press-release-details/2026/Teladoc-Health-Reports-Fourth-Quarter-and-Full-Year-2025-Results/default.aspx" TargetMode="External"/><Relationship Id="rId36" Type="http://schemas.openxmlformats.org/officeDocument/2006/relationships/hyperlink" Target="https://ftvcapital.com/2021/luma-health-raises-130-million-in-series-c-funding-to-unify-automate-and-transform-patients-healthcare-journeys/" TargetMode="External"/><Relationship Id="rId49" Type="http://schemas.openxmlformats.org/officeDocument/2006/relationships/hyperlink" Target="https://ftvcapital.com/portfolio-item/luma-health/" TargetMode="External"/><Relationship Id="rId57" Type="http://schemas.openxmlformats.org/officeDocument/2006/relationships/hyperlink" Target="https://www.fiercehealthcare.com/health-tech/innovaccer-clinches-275m-series-f-funding-build-out-ai-cloud-capabilities" TargetMode="External"/><Relationship Id="rId10" Type="http://schemas.openxmlformats.org/officeDocument/2006/relationships/hyperlink" Target="https://www.fortunebusinessinsights.com/ai-in-patient-engagement-market-115857" TargetMode="External"/><Relationship Id="rId31" Type="http://schemas.openxmlformats.org/officeDocument/2006/relationships/hyperlink" Target="https://memorialcareinnovationfund.com/artera-clinches-65m-in-funding-to-build-out-ai-agents-for-patient-communication/" TargetMode="External"/><Relationship Id="rId44" Type="http://schemas.openxmlformats.org/officeDocument/2006/relationships/hyperlink" Target="https://investors.amwell.com/static-files/026f461c-5dcd-4415-beaf-80fee1c7d367" TargetMode="External"/><Relationship Id="rId52" Type="http://schemas.openxmlformats.org/officeDocument/2006/relationships/hyperlink" Target="https://memorialcareinnovationfund.com/artera-clinches-65m-in-funding-to-build-out-ai-agents-for-patient-communication/" TargetMode="External"/><Relationship Id="rId60" Type="http://schemas.openxmlformats.org/officeDocument/2006/relationships/hyperlink" Target="https://www.fda.gov/regulatory-information/search-fda-guidance-documents/marketing-submission-recommendations-predetermined-change-control-plan-artificial-intelligence" TargetMode="External"/><Relationship Id="rId65" Type="http://schemas.openxmlformats.org/officeDocument/2006/relationships/hyperlink" Target="https://static.pib.gov.in/WriteReadData/specificdocs/documents/2025/nov/doc20251117695301.pdf" TargetMode="External"/><Relationship Id="rId73" Type="http://schemas.openxmlformats.org/officeDocument/2006/relationships/hyperlink" Target="https://static.pib.gov.in/WriteReadData/specificdocs/documents/2025/nov/doc20251117695301.pdf"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hebusinessresearchcompany.com/report/ai-in-patient-engagement-global-market-report" TargetMode="External"/><Relationship Id="rId13" Type="http://schemas.openxmlformats.org/officeDocument/2006/relationships/hyperlink" Target="https://www.imarcgroup.com/india-patient-engagement-solutions-market" TargetMode="External"/><Relationship Id="rId18" Type="http://schemas.openxmlformats.org/officeDocument/2006/relationships/hyperlink" Target="https://ftvcapital.com/2021/luma-health-raises-130-million-in-series-c-funding-to-unify-automate-and-transform-patients-healthcare-journeys/" TargetMode="External"/><Relationship Id="rId39" Type="http://schemas.openxmlformats.org/officeDocument/2006/relationships/hyperlink" Target="https://www.fiercehealthcare.com/health-tech/innovaccer-clinches-275m-series-f-funding-build-out-ai-cloud-capabilities" TargetMode="External"/><Relationship Id="rId34" Type="http://schemas.openxmlformats.org/officeDocument/2006/relationships/hyperlink" Target="https://ftvcapital.com/2021/luma-health-raises-130-million-in-series-c-funding-to-unify-automate-and-transform-patients-healthcare-journeys/" TargetMode="External"/><Relationship Id="rId50" Type="http://schemas.openxmlformats.org/officeDocument/2006/relationships/hyperlink" Target="https://memorialcareinnovationfund.com/artera-clinches-65m-in-funding-to-build-out-ai-agents-for-patient-communication/" TargetMode="External"/><Relationship Id="rId55" Type="http://schemas.openxmlformats.org/officeDocument/2006/relationships/hyperlink" Target="https://www.freshtrackscap.com/media-coverage/getwell-acquired-by-welsh-carson-anderson-stowe/" TargetMode="External"/><Relationship Id="rId76" Type="http://schemas.openxmlformats.org/officeDocument/2006/relationships/hyperlink" Target="https://www.grandviewresearch.com/horizon/outlook/ai-in-patient-engagement-market/united-states" TargetMode="External"/><Relationship Id="rId7" Type="http://schemas.openxmlformats.org/officeDocument/2006/relationships/hyperlink" Target="https://www.grandviewresearch.com/horizon/outlook/ai-in-patient-engagement-market/india" TargetMode="External"/><Relationship Id="rId71" Type="http://schemas.openxmlformats.org/officeDocument/2006/relationships/hyperlink" Target="https://telehealth.hhs.gov/providers/telehealth-policy/telehealth-policy-updates" TargetMode="External"/><Relationship Id="rId2" Type="http://schemas.openxmlformats.org/officeDocument/2006/relationships/styles" Target="styles.xml"/><Relationship Id="rId29" Type="http://schemas.openxmlformats.org/officeDocument/2006/relationships/hyperlink" Target="https://www.publicnow.com/view/93DE09420335E8563531B61430634A7C8C5FC6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6447</Words>
  <Characters>30047</Characters>
  <Application>Microsoft Office Word</Application>
  <DocSecurity>0</DocSecurity>
  <Lines>2003</Lines>
  <Paragraphs>1920</Paragraphs>
  <ScaleCrop>false</ScaleCrop>
  <Company/>
  <LinksUpToDate>false</LinksUpToDate>
  <CharactersWithSpaces>34574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2026-09-16T09:15:00Z</dcterms:created>
  <dcterms:modified xsi:type="dcterms:W3CDTF">2026-09-16T09:15:00Z</dcterms:modified>
</cp:coreProperties>
</file>