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4C595" w14:textId="77777777" w:rsidR="007F3EC6" w:rsidRDefault="007F3EC6"/>
    <w:p w14:paraId="616EE7A6" w14:textId="77777777" w:rsidR="007F3EC6" w:rsidRPr="007F3EC6" w:rsidRDefault="007F3EC6" w:rsidP="007F3EC6">
      <w:pPr>
        <w:rPr>
          <w:b/>
          <w:bCs/>
        </w:rPr>
      </w:pPr>
      <w:r w:rsidRPr="007F3EC6">
        <w:rPr>
          <w:b/>
          <w:bCs/>
        </w:rPr>
        <w:t>The 5 Thesis-Story Answers</w:t>
      </w:r>
    </w:p>
    <w:p w14:paraId="76B9C8F5" w14:textId="4E55E382" w:rsidR="007F3EC6" w:rsidRPr="007F3EC6" w:rsidRDefault="007F3EC6" w:rsidP="007F3EC6">
      <w:r w:rsidRPr="007F3EC6">
        <w:rPr>
          <w:b/>
          <w:bCs/>
        </w:rPr>
        <w:t>Revenue model</w:t>
      </w:r>
      <w:r w:rsidRPr="007F3EC6">
        <w:t xml:space="preserve"> — how Waystar charges: Over 99% of our revenue is either recurring subscription or based on highly predictable volumes</w:t>
      </w:r>
      <w:r w:rsidR="00930F59">
        <w:t xml:space="preserve">. </w:t>
      </w:r>
      <w:r w:rsidR="00930F59" w:rsidRPr="00930F59">
        <w:t>We primarily generate two types of revenue: (</w:t>
      </w:r>
      <w:proofErr w:type="spellStart"/>
      <w:r w:rsidR="00930F59" w:rsidRPr="00930F59">
        <w:t>i</w:t>
      </w:r>
      <w:proofErr w:type="spellEnd"/>
      <w:r w:rsidR="00930F59" w:rsidRPr="00930F59">
        <w:t>) subscription revenue and (ii) volume-based revenue, which account for 99% of total revenue for all periods presented</w:t>
      </w:r>
    </w:p>
    <w:p w14:paraId="505F504B" w14:textId="33032601" w:rsidR="007F3EC6" w:rsidRPr="007F3EC6" w:rsidRDefault="007F3EC6" w:rsidP="005A628F">
      <w:r w:rsidRPr="007F3EC6">
        <w:rPr>
          <w:b/>
          <w:bCs/>
        </w:rPr>
        <w:t>Revenue growth rate</w:t>
      </w:r>
      <w:r w:rsidRPr="007F3EC6">
        <w:t xml:space="preserve"> </w:t>
      </w:r>
      <w:proofErr w:type="gramStart"/>
      <w:r w:rsidRPr="007F3EC6">
        <w:t xml:space="preserve">— </w:t>
      </w:r>
      <w:r w:rsidR="005A628F" w:rsidRPr="005A628F">
        <w:t> For</w:t>
      </w:r>
      <w:proofErr w:type="gramEnd"/>
      <w:r w:rsidR="005A628F" w:rsidRPr="005A628F">
        <w:t xml:space="preserve"> the six months ended June 30, 2023, we generated revenue of $387.1 million (reflecting a 12% increase compared to revenue of $344.8 million for the same period in the prior year), net loss of $21.4 million (reflecting a 16% decrease compared to net loss of $25.4 million for the same period in th</w:t>
      </w:r>
      <w:r w:rsidR="005A628F">
        <w:t xml:space="preserve">e </w:t>
      </w:r>
      <w:r w:rsidR="005A628F" w:rsidRPr="005A628F">
        <w:t>prior year)</w:t>
      </w:r>
      <w:r w:rsidR="005A628F">
        <w:t xml:space="preserve">. </w:t>
      </w:r>
      <w:r w:rsidR="005A628F" w:rsidRPr="005A628F">
        <w:t xml:space="preserve">For the year </w:t>
      </w:r>
      <w:proofErr w:type="gramStart"/>
      <w:r w:rsidR="005A628F" w:rsidRPr="005A628F">
        <w:t>ended</w:t>
      </w:r>
      <w:proofErr w:type="gramEnd"/>
      <w:r w:rsidR="005A628F" w:rsidRPr="005A628F">
        <w:t xml:space="preserve"> December 31, 2022, we generated revenue of $704.9 million (reflecting a 22% increase compared to revenue of $578.6 million in the prior year), net loss of $44.0 million (reflecting a 6% decrease compared to net loss of $47.1 million in the prior year)</w:t>
      </w:r>
    </w:p>
    <w:p w14:paraId="73983FA9" w14:textId="0909669B" w:rsidR="007F3EC6" w:rsidRPr="007F3EC6" w:rsidRDefault="007F3EC6" w:rsidP="005A628F">
      <w:r w:rsidRPr="007F3EC6">
        <w:rPr>
          <w:b/>
          <w:bCs/>
        </w:rPr>
        <w:t>Adjusted EBITDA margin</w:t>
      </w:r>
      <w:r w:rsidRPr="007F3EC6">
        <w:t xml:space="preserve"> — </w:t>
      </w:r>
      <w:r w:rsidR="005A628F" w:rsidRPr="005A628F">
        <w:t>Adjusted EBITDA of $166.5 million (reflecting a 16% increase compared to Adjusted EBITDA of $143.6 million for the same period in the prior year)</w:t>
      </w:r>
      <w:r w:rsidR="005A628F">
        <w:t xml:space="preserve">. </w:t>
      </w:r>
      <w:r w:rsidRPr="007F3EC6">
        <w:t>and what specifically gets added back to get there</w:t>
      </w:r>
      <w:r w:rsidR="005A628F">
        <w:t xml:space="preserve">. </w:t>
      </w:r>
      <w:r w:rsidR="005A628F" w:rsidRPr="005A628F">
        <w:t xml:space="preserve">For the year ended December 31, </w:t>
      </w:r>
      <w:proofErr w:type="gramStart"/>
      <w:r w:rsidR="005A628F" w:rsidRPr="005A628F">
        <w:t>2022</w:t>
      </w:r>
      <w:proofErr w:type="gramEnd"/>
      <w:r w:rsidR="005A628F">
        <w:t xml:space="preserve"> a</w:t>
      </w:r>
      <w:r w:rsidR="005A628F" w:rsidRPr="005A628F">
        <w:t>djusted EBITDA of $295.5 million (reflecting a 16% increase compared to Adjusted EBITDA of $254.5 million in the prior year)</w:t>
      </w:r>
    </w:p>
    <w:p w14:paraId="32CF1E3F" w14:textId="77777777" w:rsidR="007F3EC6" w:rsidRPr="007F3EC6" w:rsidRDefault="007F3EC6" w:rsidP="005A628F">
      <w:r w:rsidRPr="007F3EC6">
        <w:rPr>
          <w:b/>
          <w:bCs/>
        </w:rPr>
        <w:t>Total debt load</w:t>
      </w:r>
      <w:r w:rsidRPr="007F3EC6">
        <w:t xml:space="preserve"> — going into the IPO</w:t>
      </w:r>
    </w:p>
    <w:p w14:paraId="4EC8276F" w14:textId="77777777" w:rsidR="007F3EC6" w:rsidRPr="007F3EC6" w:rsidRDefault="007F3EC6" w:rsidP="005A628F">
      <w:r w:rsidRPr="007F3EC6">
        <w:rPr>
          <w:b/>
          <w:bCs/>
        </w:rPr>
        <w:t>EQT's value creation story</w:t>
      </w:r>
      <w:r w:rsidRPr="007F3EC6">
        <w:t xml:space="preserve"> — what they say they did to the business 2019-2024</w:t>
      </w:r>
    </w:p>
    <w:p w14:paraId="6F9DB147" w14:textId="77777777" w:rsidR="007F3EC6" w:rsidRPr="007F3EC6" w:rsidRDefault="007F3EC6" w:rsidP="007F3EC6">
      <w:r w:rsidRPr="007F3EC6">
        <w:pict w14:anchorId="62DD5E13">
          <v:rect id="_x0000_i1031" style="width:0;height:1.5pt" o:hralign="center" o:hrstd="t" o:hr="t" fillcolor="#a0a0a0" stroked="f"/>
        </w:pict>
      </w:r>
    </w:p>
    <w:p w14:paraId="0FA6D679" w14:textId="77777777" w:rsidR="007F3EC6" w:rsidRPr="007F3EC6" w:rsidRDefault="007F3EC6" w:rsidP="007F3EC6">
      <w:pPr>
        <w:rPr>
          <w:b/>
          <w:bCs/>
        </w:rPr>
      </w:pPr>
      <w:r w:rsidRPr="007F3EC6">
        <w:rPr>
          <w:b/>
          <w:bCs/>
        </w:rPr>
        <w:t>The ~15 Supporting Numbers</w:t>
      </w:r>
    </w:p>
    <w:p w14:paraId="0E7EA62B" w14:textId="77777777" w:rsidR="007F3EC6" w:rsidRPr="007F3EC6" w:rsidRDefault="007F3EC6" w:rsidP="007F3EC6">
      <w:r w:rsidRPr="007F3EC6">
        <w:rPr>
          <w:b/>
          <w:bCs/>
        </w:rPr>
        <w:t>Revenue mechanics</w:t>
      </w:r>
    </w:p>
    <w:p w14:paraId="2BB97AAB" w14:textId="77777777" w:rsidR="007F3EC6" w:rsidRPr="007F3EC6" w:rsidRDefault="007F3EC6" w:rsidP="007F3EC6">
      <w:pPr>
        <w:numPr>
          <w:ilvl w:val="0"/>
          <w:numId w:val="2"/>
        </w:numPr>
      </w:pPr>
      <w:r w:rsidRPr="007F3EC6">
        <w:t>Total revenue, last 3 years</w:t>
      </w:r>
    </w:p>
    <w:p w14:paraId="05A3AAB2" w14:textId="44C9335A" w:rsidR="007F3EC6" w:rsidRDefault="007F3EC6" w:rsidP="007F3EC6">
      <w:pPr>
        <w:numPr>
          <w:ilvl w:val="0"/>
          <w:numId w:val="2"/>
        </w:numPr>
      </w:pPr>
      <w:r w:rsidRPr="007F3EC6">
        <w:t>Revenue split: subscription vs. transaction</w:t>
      </w:r>
      <w:r w:rsidR="00930F59">
        <w:t xml:space="preserve"> – Subscription – 70%. Transaction -30</w:t>
      </w:r>
      <w:proofErr w:type="gramStart"/>
      <w:r w:rsidR="00930F59">
        <w:t>% :</w:t>
      </w:r>
      <w:proofErr w:type="gramEnd"/>
      <w:r w:rsidR="00930F59">
        <w:t xml:space="preserve"> 50% transaction </w:t>
      </w:r>
      <w:proofErr w:type="gramStart"/>
      <w:r w:rsidR="00930F59">
        <w:t>count</w:t>
      </w:r>
      <w:proofErr w:type="gramEnd"/>
      <w:r w:rsidR="00930F59">
        <w:t xml:space="preserve"> from provider solutions</w:t>
      </w:r>
      <w:r w:rsidR="00F059D5">
        <w:t xml:space="preserve"> and the other 50% from </w:t>
      </w:r>
      <w:r w:rsidR="00F059D5" w:rsidRPr="00F059D5">
        <w:t>patient payments solutions that are based on either dollar volumes or transaction count</w:t>
      </w:r>
      <w:r w:rsidR="00F059D5">
        <w:t xml:space="preserve">. </w:t>
      </w:r>
      <w:r w:rsidR="00F059D5" w:rsidRPr="00F059D5">
        <w:t>Third-party costs for patient payments solutions are approximately 60% of the revenue generated from these solutions, while third-party costs for provider solutions are approximately 6% of the associated revenue.</w:t>
      </w:r>
    </w:p>
    <w:p w14:paraId="599245F8" w14:textId="0A6966F6" w:rsidR="006B7959" w:rsidRDefault="006B7959" w:rsidP="006B7959">
      <w:r w:rsidRPr="006B7959">
        <w:lastRenderedPageBreak/>
        <w:drawing>
          <wp:inline distT="0" distB="0" distL="0" distR="0" wp14:anchorId="089FABA9" wp14:editId="3CE75420">
            <wp:extent cx="5943600" cy="3519805"/>
            <wp:effectExtent l="0" t="0" r="0" b="4445"/>
            <wp:docPr id="5817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35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32C1" w14:textId="77777777" w:rsidR="006B7959" w:rsidRDefault="006B7959" w:rsidP="006B7959"/>
    <w:p w14:paraId="38BA682E" w14:textId="24AAD464" w:rsidR="006B7959" w:rsidRDefault="006B7959" w:rsidP="006B7959">
      <w:r w:rsidRPr="006B7959">
        <w:drawing>
          <wp:inline distT="0" distB="0" distL="0" distR="0" wp14:anchorId="48A2B35B" wp14:editId="69A62146">
            <wp:extent cx="5943600" cy="1714500"/>
            <wp:effectExtent l="0" t="0" r="0" b="0"/>
            <wp:docPr id="103195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57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A568" w14:textId="77777777" w:rsidR="006B7959" w:rsidRDefault="006B7959" w:rsidP="006B7959"/>
    <w:p w14:paraId="5324D238" w14:textId="39F2C69D" w:rsidR="006B7959" w:rsidRDefault="006B7959" w:rsidP="006B7959">
      <w:r w:rsidRPr="006B7959">
        <w:lastRenderedPageBreak/>
        <w:drawing>
          <wp:inline distT="0" distB="0" distL="0" distR="0" wp14:anchorId="2DDEDADD" wp14:editId="55DDD2F4">
            <wp:extent cx="5943600" cy="3598545"/>
            <wp:effectExtent l="0" t="0" r="0" b="1905"/>
            <wp:docPr id="135965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3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6771C4" w14:textId="77777777" w:rsidR="006B7959" w:rsidRPr="007F3EC6" w:rsidRDefault="006B7959" w:rsidP="006B7959"/>
    <w:p w14:paraId="72D82775" w14:textId="74FBBA5F" w:rsidR="007F3EC6" w:rsidRPr="007F3EC6" w:rsidRDefault="007F3EC6" w:rsidP="007F3EC6">
      <w:pPr>
        <w:numPr>
          <w:ilvl w:val="0"/>
          <w:numId w:val="2"/>
        </w:numPr>
      </w:pPr>
      <w:r w:rsidRPr="007F3EC6">
        <w:t>Number of clients (and how they define "client")</w:t>
      </w:r>
      <w:r>
        <w:t xml:space="preserve"> </w:t>
      </w:r>
      <w:proofErr w:type="gramStart"/>
      <w:r>
        <w:t xml:space="preserve">- </w:t>
      </w:r>
      <w:r w:rsidRPr="007F3EC6">
        <w:t> We</w:t>
      </w:r>
      <w:proofErr w:type="gramEnd"/>
      <w:r w:rsidRPr="007F3EC6">
        <w:t xml:space="preserve"> currently serve approximately 30,000 clients of various sizes, representing approximately one million distinct providers practicing across a variety of care sites, including 18 of the top 22 U.S. News Best Hospitals. Our client base is highly diversified, and for the six months ended June 30, </w:t>
      </w:r>
      <w:proofErr w:type="gramStart"/>
      <w:r w:rsidRPr="007F3EC6">
        <w:t>2023</w:t>
      </w:r>
      <w:proofErr w:type="gramEnd"/>
      <w:r w:rsidRPr="007F3EC6">
        <w:t xml:space="preserve"> and the year ended December 31, 2022, our top 10 clients accounted for only 11.7% and 11.4%, respectively, of our total revenue</w:t>
      </w:r>
      <w:r>
        <w:t xml:space="preserve">. </w:t>
      </w:r>
      <w:r w:rsidRPr="007F3EC6">
        <w:t xml:space="preserve">The number of clients from whom we generate over $100,000 of revenue has grown from 733 in the twelve months </w:t>
      </w:r>
      <w:proofErr w:type="gramStart"/>
      <w:r w:rsidRPr="007F3EC6">
        <w:t>ended</w:t>
      </w:r>
      <w:proofErr w:type="gramEnd"/>
      <w:r w:rsidRPr="007F3EC6">
        <w:t xml:space="preserve"> March 31, </w:t>
      </w:r>
      <w:proofErr w:type="gramStart"/>
      <w:r w:rsidRPr="007F3EC6">
        <w:t>2021</w:t>
      </w:r>
      <w:proofErr w:type="gramEnd"/>
      <w:r w:rsidRPr="007F3EC6">
        <w:t xml:space="preserve"> to 1,023 in the twelve months </w:t>
      </w:r>
      <w:proofErr w:type="gramStart"/>
      <w:r w:rsidRPr="007F3EC6">
        <w:t>ended</w:t>
      </w:r>
      <w:proofErr w:type="gramEnd"/>
      <w:r w:rsidRPr="007F3EC6">
        <w:t xml:space="preserve"> June 30, 2023</w:t>
      </w:r>
    </w:p>
    <w:p w14:paraId="27E1BB56" w14:textId="77777777" w:rsidR="00260F7E" w:rsidRDefault="007F3EC6" w:rsidP="007F3EC6">
      <w:pPr>
        <w:numPr>
          <w:ilvl w:val="0"/>
          <w:numId w:val="2"/>
        </w:numPr>
      </w:pPr>
      <w:r w:rsidRPr="007F3EC6">
        <w:t>NRR (Net Revenue Retention)</w:t>
      </w:r>
      <w:r>
        <w:t xml:space="preserve"> - </w:t>
      </w:r>
      <w:r w:rsidRPr="007F3EC6">
        <w:t>For the twelve months ended June 30, 2023, our Net Revenue Retention Rate was 109.7%, and for the year ended December 31, 2022, our Net Revenue Retention Rate was 109.5%.</w:t>
      </w:r>
    </w:p>
    <w:p w14:paraId="696EA791" w14:textId="3455826D" w:rsidR="007F3EC6" w:rsidRPr="007F3EC6" w:rsidRDefault="00260F7E" w:rsidP="00260F7E">
      <w:r w:rsidRPr="00260F7E">
        <w:lastRenderedPageBreak/>
        <w:drawing>
          <wp:inline distT="0" distB="0" distL="0" distR="0" wp14:anchorId="4F795BCD" wp14:editId="29E3AA9D">
            <wp:extent cx="5943600" cy="1567180"/>
            <wp:effectExtent l="0" t="0" r="0" b="0"/>
            <wp:docPr id="139957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74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EC6" w:rsidRPr="007F3EC6">
        <w:t xml:space="preserve"> </w:t>
      </w:r>
    </w:p>
    <w:p w14:paraId="551F4D73" w14:textId="77777777" w:rsidR="007F3EC6" w:rsidRPr="007F3EC6" w:rsidRDefault="007F3EC6" w:rsidP="007F3EC6">
      <w:pPr>
        <w:numPr>
          <w:ilvl w:val="0"/>
          <w:numId w:val="2"/>
        </w:numPr>
      </w:pPr>
      <w:r w:rsidRPr="007F3EC6">
        <w:t>GRR (Gross Revenue Retention)</w:t>
      </w:r>
    </w:p>
    <w:p w14:paraId="2CEB2492" w14:textId="77777777" w:rsidR="007F3EC6" w:rsidRPr="007F3EC6" w:rsidRDefault="007F3EC6" w:rsidP="007F3EC6">
      <w:r w:rsidRPr="007F3EC6">
        <w:rPr>
          <w:b/>
          <w:bCs/>
        </w:rPr>
        <w:t>Profitability</w:t>
      </w:r>
    </w:p>
    <w:p w14:paraId="53E6CF2D" w14:textId="77777777" w:rsidR="007F3EC6" w:rsidRPr="007F3EC6" w:rsidRDefault="007F3EC6" w:rsidP="007F3EC6">
      <w:pPr>
        <w:numPr>
          <w:ilvl w:val="0"/>
          <w:numId w:val="3"/>
        </w:numPr>
      </w:pPr>
      <w:r w:rsidRPr="007F3EC6">
        <w:t>Gross margin %</w:t>
      </w:r>
    </w:p>
    <w:p w14:paraId="58A6DEE4" w14:textId="77777777" w:rsidR="007F3EC6" w:rsidRPr="007F3EC6" w:rsidRDefault="007F3EC6" w:rsidP="007F3EC6">
      <w:pPr>
        <w:numPr>
          <w:ilvl w:val="0"/>
          <w:numId w:val="3"/>
        </w:numPr>
      </w:pPr>
      <w:r w:rsidRPr="007F3EC6">
        <w:t>Adjusted EBITDA ($ and margin %)</w:t>
      </w:r>
    </w:p>
    <w:p w14:paraId="14C1C019" w14:textId="77777777" w:rsidR="007F3EC6" w:rsidRPr="007F3EC6" w:rsidRDefault="007F3EC6" w:rsidP="007F3EC6">
      <w:pPr>
        <w:numPr>
          <w:ilvl w:val="0"/>
          <w:numId w:val="3"/>
        </w:numPr>
      </w:pPr>
      <w:r w:rsidRPr="007F3EC6">
        <w:t>The addback reconciliation table — what's added back and how much</w:t>
      </w:r>
    </w:p>
    <w:p w14:paraId="67F34ECE" w14:textId="77777777" w:rsidR="007F3EC6" w:rsidRPr="007F3EC6" w:rsidRDefault="007F3EC6" w:rsidP="007F3EC6">
      <w:r w:rsidRPr="007F3EC6">
        <w:rPr>
          <w:b/>
          <w:bCs/>
        </w:rPr>
        <w:t>Scale indicators</w:t>
      </w:r>
    </w:p>
    <w:p w14:paraId="7C2318DD" w14:textId="77777777" w:rsidR="007F3EC6" w:rsidRPr="007F3EC6" w:rsidRDefault="007F3EC6" w:rsidP="007F3EC6">
      <w:pPr>
        <w:numPr>
          <w:ilvl w:val="0"/>
          <w:numId w:val="4"/>
        </w:numPr>
      </w:pPr>
      <w:r w:rsidRPr="007F3EC6">
        <w:t>Total dollar volume of claims/transactions processed</w:t>
      </w:r>
    </w:p>
    <w:p w14:paraId="697DC2EE" w14:textId="77777777" w:rsidR="007F3EC6" w:rsidRPr="007F3EC6" w:rsidRDefault="007F3EC6" w:rsidP="007F3EC6">
      <w:pPr>
        <w:numPr>
          <w:ilvl w:val="0"/>
          <w:numId w:val="4"/>
        </w:numPr>
      </w:pPr>
      <w:r w:rsidRPr="007F3EC6">
        <w:t>Number of providers on platform</w:t>
      </w:r>
    </w:p>
    <w:p w14:paraId="18AC0CFD" w14:textId="77777777" w:rsidR="007F3EC6" w:rsidRPr="007F3EC6" w:rsidRDefault="007F3EC6" w:rsidP="007F3EC6">
      <w:pPr>
        <w:numPr>
          <w:ilvl w:val="0"/>
          <w:numId w:val="4"/>
        </w:numPr>
      </w:pPr>
      <w:r w:rsidRPr="007F3EC6">
        <w:t>Number of payer connections</w:t>
      </w:r>
    </w:p>
    <w:p w14:paraId="1B7B084D" w14:textId="77777777" w:rsidR="007F3EC6" w:rsidRPr="007F3EC6" w:rsidRDefault="007F3EC6" w:rsidP="007F3EC6">
      <w:r w:rsidRPr="007F3EC6">
        <w:rPr>
          <w:b/>
          <w:bCs/>
        </w:rPr>
        <w:t>Capital structure</w:t>
      </w:r>
    </w:p>
    <w:p w14:paraId="59FA22E6" w14:textId="2DB50F8A" w:rsidR="007F3EC6" w:rsidRPr="007F3EC6" w:rsidRDefault="007F3EC6" w:rsidP="007F3EC6">
      <w:pPr>
        <w:numPr>
          <w:ilvl w:val="0"/>
          <w:numId w:val="5"/>
        </w:numPr>
      </w:pPr>
      <w:r w:rsidRPr="007F3EC6">
        <w:t>Total debt pre-IPO</w:t>
      </w:r>
      <w:r w:rsidR="00B333E8">
        <w:t xml:space="preserve"> </w:t>
      </w:r>
      <w:r w:rsidR="00B333E8" w:rsidRPr="00B333E8">
        <w:t>$1.74 billion of first lien debt</w:t>
      </w:r>
    </w:p>
    <w:p w14:paraId="6C19C2D8" w14:textId="77777777" w:rsidR="007F3EC6" w:rsidRPr="007F3EC6" w:rsidRDefault="007F3EC6" w:rsidP="007F3EC6">
      <w:pPr>
        <w:numPr>
          <w:ilvl w:val="0"/>
          <w:numId w:val="5"/>
        </w:numPr>
      </w:pPr>
      <w:r w:rsidRPr="007F3EC6">
        <w:t>IPO proceeds raised</w:t>
      </w:r>
    </w:p>
    <w:p w14:paraId="3354CAE3" w14:textId="77777777" w:rsidR="007F3EC6" w:rsidRPr="007F3EC6" w:rsidRDefault="007F3EC6" w:rsidP="007F3EC6">
      <w:pPr>
        <w:numPr>
          <w:ilvl w:val="0"/>
          <w:numId w:val="5"/>
        </w:numPr>
      </w:pPr>
      <w:r w:rsidRPr="007F3EC6">
        <w:t>What proceeds were used for (almost always debt paydown)</w:t>
      </w:r>
    </w:p>
    <w:p w14:paraId="7D57E5B7" w14:textId="77777777" w:rsidR="007F3EC6" w:rsidRDefault="007F3EC6"/>
    <w:sectPr w:rsidR="007F3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6E6"/>
    <w:multiLevelType w:val="multilevel"/>
    <w:tmpl w:val="F29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A0815"/>
    <w:multiLevelType w:val="multilevel"/>
    <w:tmpl w:val="7674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D2DD5"/>
    <w:multiLevelType w:val="multilevel"/>
    <w:tmpl w:val="DE50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06D86"/>
    <w:multiLevelType w:val="multilevel"/>
    <w:tmpl w:val="1566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44F61"/>
    <w:multiLevelType w:val="multilevel"/>
    <w:tmpl w:val="F91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472070">
    <w:abstractNumId w:val="1"/>
  </w:num>
  <w:num w:numId="2" w16cid:durableId="868033749">
    <w:abstractNumId w:val="4"/>
  </w:num>
  <w:num w:numId="3" w16cid:durableId="1162357862">
    <w:abstractNumId w:val="3"/>
  </w:num>
  <w:num w:numId="4" w16cid:durableId="2134516362">
    <w:abstractNumId w:val="0"/>
  </w:num>
  <w:num w:numId="5" w16cid:durableId="535891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C6"/>
    <w:rsid w:val="000B6152"/>
    <w:rsid w:val="00260F7E"/>
    <w:rsid w:val="00513609"/>
    <w:rsid w:val="005A628F"/>
    <w:rsid w:val="006B7959"/>
    <w:rsid w:val="007F3EC6"/>
    <w:rsid w:val="00930F59"/>
    <w:rsid w:val="00AE71F0"/>
    <w:rsid w:val="00B333E8"/>
    <w:rsid w:val="00BE57A0"/>
    <w:rsid w:val="00CA127C"/>
    <w:rsid w:val="00F0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7115"/>
  <w15:chartTrackingRefBased/>
  <w15:docId w15:val="{9BB75B83-F90D-4269-ACCD-46A835BF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2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2211</TotalTime>
  <Pages>4</Pages>
  <Words>462</Words>
  <Characters>2820</Characters>
  <Application>Microsoft Office Word</Application>
  <DocSecurity>0</DocSecurity>
  <Lines>141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Sankuri</dc:creator>
  <cp:keywords/>
  <dc:description/>
  <cp:lastModifiedBy>Apoorva Sankuri</cp:lastModifiedBy>
  <cp:revision>1</cp:revision>
  <dcterms:created xsi:type="dcterms:W3CDTF">2026-07-20T09:40:00Z</dcterms:created>
  <dcterms:modified xsi:type="dcterms:W3CDTF">2026-07-28T11:43:00Z</dcterms:modified>
</cp:coreProperties>
</file>