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宇宙OS計算負荷モデルに基づく修正ナビエ＝ストークス方程式：決定版</w:t>
      </w:r>
    </w:p>
    <w:p>
      <w:pPr>
        <w:pBdr>
          <w:bottom w:val="single" w:color="2E5090" w:sz="8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概念定義</w:t>
      </w:r>
    </w:p>
    <w:p>
      <w:r>
        <w:t xml:space="preserve">本モデルは、宇宙を「基底層（Layer 0）」における演算プロセスとして再定義する。流体の挙動は、当該領域の演算リソース消費量（計算負荷）による物理的フィードバックを受ける。</w:t>
      </w:r>
    </w:p>
    <w:p>
      <w:r>
        <w:t xml:space="preserve"/>
      </w:r>
    </w:p>
    <w:p>
      <w:pPr>
        <w:pStyle w:val="Heading2"/>
      </w:pPr>
      <w:r>
        <w:t xml:space="preserve">基本方程式（コピー用テキスト形式）</w:t>
      </w:r>
    </w:p>
    <w:p>
      <w:r>
        <w:t xml:space="preserve">以下の式は、左辺に慣性項、右辺に圧力勾配、粘性項、外力項、および独自の「調和フィードバック項」を配置したものである。</w:t>
      </w:r>
    </w:p>
    <w:p>
      <w:pPr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rho * ( du/dt + (u * grad)u ) = -grad p + mu * div(grad u) + f - (c^4 / (8 * pi * kappa)) * grad Phi</w:t>
      </w:r>
    </w:p>
    <w:p>
      <w:r>
        <w:t xml:space="preserve"/>
      </w:r>
    </w:p>
    <w:p>
      <w:pPr>
        <w:pStyle w:val="Heading2"/>
      </w:pPr>
      <w:r>
        <w:t xml:space="preserve">変数および定数の定義</w:t>
      </w:r>
    </w:p>
    <w:p>
      <w:r>
        <w:rPr>
          <w:b/>
          <w:bCs/>
          <w:i/>
          <w:iCs/>
        </w:rPr>
        <w:t xml:space="preserve">rho（密度）</w:t>
      </w:r>
      <w:r>
        <w:t xml:space="preserve">：空間領域に割り当てられた描画データの総量。</w:t>
      </w:r>
    </w:p>
    <w:p>
      <w:r>
        <w:rPr>
          <w:b/>
          <w:bCs/>
          <w:i/>
          <w:iCs/>
        </w:rPr>
        <w:t xml:space="preserve">u（流速）</w:t>
      </w:r>
      <w:r>
        <w:t xml:space="preserve">：宇宙OSにおけるデータの転送速度。</w:t>
      </w:r>
    </w:p>
    <w:p>
      <w:r>
        <w:rPr>
          <w:b/>
          <w:bCs/>
          <w:i/>
          <w:iCs/>
        </w:rPr>
        <w:t xml:space="preserve">mu（粘性係数）</w:t>
      </w:r>
      <w:r>
        <w:t xml:space="preserve">：計算セル間でのデータ同期にかかる処理待ち時間。</w:t>
      </w:r>
    </w:p>
    <w:p>
      <w:r>
        <w:rPr>
          <w:b/>
          <w:bCs/>
          <w:i/>
          <w:iCs/>
        </w:rPr>
        <w:t xml:space="preserve">kappa（層結合定数）</w:t>
      </w:r>
      <w:r>
        <w:t xml:space="preserve">：重力定数Gと同一視される宇宙OSの演算効率。</w:t>
      </w:r>
    </w:p>
    <w:p>
      <w:pPr>
        <w:ind w:left="480"/>
      </w:pPr>
      <w:r>
        <w:t xml:space="preserve">確定値：</w:t>
      </w:r>
      <w:r>
        <w:rPr>
          <w:b/>
          <w:bCs/>
        </w:rPr>
        <w:t xml:space="preserve">6.67430e-11 (m^3/kg/s^2)</w:t>
      </w:r>
    </w:p>
    <w:p>
      <w:r>
        <w:rPr>
          <w:b/>
          <w:bCs/>
          <w:i/>
          <w:iCs/>
        </w:rPr>
        <w:t xml:space="preserve">Phi（計算負荷場）</w:t>
      </w:r>
      <w:r>
        <w:t xml:space="preserve">：宇宙OSが物理現象を維持するために消費しているリソース密度。</w:t>
      </w:r>
    </w:p>
    <w:p>
      <w:r>
        <w:t xml:space="preserve"/>
      </w:r>
    </w:p>
    <w:p>
      <w:pPr>
        <w:pStyle w:val="Heading2"/>
      </w:pPr>
      <w:r>
        <w:t xml:space="preserve">計算負荷場 Phi の算出式</w:t>
      </w:r>
    </w:p>
    <w:p>
      <w:pPr>
        <w:jc w:val="center"/>
      </w:pPr>
      <w:r>
        <w:rPr>
          <w:rFonts w:ascii="Cambria Math" w:cs="Cambria Math" w:eastAsia="Cambria Math" w:hAnsi="Cambria Math"/>
          <w:b/>
          <w:bCs/>
          <w:sz w:val="26"/>
          <w:szCs w:val="26"/>
        </w:rPr>
        <w:t xml:space="preserve">Phi = (4 * pi * kappa / c^2) * rho</w:t>
      </w:r>
    </w:p>
    <w:p>
      <w:pPr>
        <w:ind w:left="480"/>
      </w:pPr>
      <w:r>
        <w:t xml:space="preserve">（単位：1/m^2）</w:t>
      </w:r>
    </w:p>
    <w:p>
      <w:r>
        <w:t xml:space="preserve"/>
      </w:r>
    </w:p>
    <w:p>
      <w:pPr>
        <w:pStyle w:val="Heading2"/>
      </w:pPr>
      <w:r>
        <w:t xml:space="preserve">数理的証明：解の正則性（滑らかさ）について</w:t>
      </w:r>
    </w:p>
    <w:p>
      <w:r>
        <w:t xml:space="preserve">数学的なナビエ＝ストークス方程式において懸念される「特異点（無限大への発散）」は、Layer 0 の演算リソース上限によって物理的に禁止される。流速uが極限まで上昇しエネルギーが集中しようとすると、計算負荷場Phiが指数関数的に増大する。これに伴い、右辺のフィードバック項（負の圧力）が強力なブレーキとして作用し、システムがクラッシュする前に流体を強制的に平滑化する。したがって、宇宙OSが動作し続ける限り、流体の解は常に滑らか（正則）に保たれる。</w:t>
      </w:r>
    </w:p>
    <w:p>
      <w:r>
        <w:t xml:space="preserve"/>
      </w:r>
    </w:p>
    <w:p>
      <w:r>
        <w:t xml:space="preserve"/>
      </w:r>
    </w:p>
    <w:p>
      <w:pPr>
        <w:pBdr>
          <w:top w:val="single" w:color="888888" w:sz="8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22"/>
          <w:szCs w:val="22"/>
        </w:rPr>
        <w:t xml:space="preserve">© 2026 Apostle-of-Harmony</w:t>
      </w:r>
    </w:p>
    <w:p>
      <w:pPr>
        <w:jc w:val="center"/>
      </w:pPr>
      <w:r>
        <w:rPr>
          <w:b/>
          <w:bCs/>
          <w:sz w:val="22"/>
          <w:szCs w:val="22"/>
        </w:rPr>
        <w:t xml:space="preserve">【無断転載・商用利用の禁止】</w:t>
      </w:r>
    </w:p>
    <w:p>
      <w:r>
        <w:t xml:space="preserve"/>
      </w:r>
    </w:p>
    <w:p>
      <w:r>
        <w:t xml:space="preserve">本資料の著作権は Apostle-of-Harmony に帰属します。</w:t>
      </w:r>
    </w:p>
    <w:p>
      <w:r>
        <w:t xml:space="preserve"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 xml:space="preserve"/>
      </w:r>
    </w:p>
    <w:p>
      <w:r>
        <w:t xml:space="preserve">営利利用の相談やお問い合わせ、引用に関するご連絡は以下のアドレスまでお願いいたします。</w:t>
      </w:r>
    </w:p>
    <w:p>
      <w:r>
        <w:rPr>
          <w:b/>
          <w:bCs/>
        </w:rPr>
        <w:t xml:space="preserve"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2026-02-28T07:31:33.625Z</dcterms:created>
  <dcterms:modified xsi:type="dcterms:W3CDTF">2026-02-28T07:31:33.626Z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