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472C4" w:sz="6" w:space="1"/>
        </w:pBdr>
        <w:spacing w:after="200"/>
        <w:jc w:val="center"/>
      </w:pPr>
      <w:r>
        <w:rPr>
          <w:rFonts w:ascii="Yu Gothic" w:cs="Yu Gothic" w:eastAsia="Yu Gothic" w:hAnsi="Yu Gothic"/>
          <w:b/>
          <w:bCs/>
          <w:color w:val="1F3864"/>
          <w:sz w:val="36"/>
          <w:szCs w:val="36"/>
        </w:rPr>
        <w:t xml:space="preserve">追加資料：パラメータ定義一覧</w:t>
      </w:r>
    </w:p>
    <w:p>
      <w:pPr>
        <w:spacing w:after="240"/>
      </w:pPr>
      <w:r>
        <w:t xml:space="preserve"/>
      </w:r>
    </w:p>
    <w:p>
      <w:pPr>
        <w:spacing w:after="400"/>
        <w:jc w:val="center"/>
      </w:pPr>
      <w:r>
        <w:rPr>
          <w:rFonts w:ascii="Yu Gothic" w:cs="Yu Gothic" w:eastAsia="Yu Gothic" w:hAnsi="Yu Gothic"/>
          <w:i/>
          <w:iCs/>
          <w:color w:val="2F5496"/>
          <w:sz w:val="24"/>
          <w:szCs w:val="24"/>
        </w:rPr>
        <w:t xml:space="preserve">宇宙OS理論における基本パラメータ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記号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値</w:t>
            </w:r>
          </w:p>
        </w:tc>
        <w:tc>
          <w:tcPr>
            <w:tcW w:type="dxa" w:w="5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β₀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完全調和状態（真空）での結合強度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Γ ≈ 10⁻⁵（宇宙規模）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時空構造の「たわみ」を許容する減衰係数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S_flex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 (基準値)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Layer 1 における情報の柔軟性（エントロピー容量）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θ_max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M_Pl⁴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宇宙OSが許容する最大計算密度（リソース限界）</w:t>
            </w:r>
          </w:p>
        </w:tc>
      </w:tr>
    </w:tbl>
    <w:p>
      <w:pPr>
        <w:spacing w:after="600"/>
      </w:pPr>
      <w:r>
        <w:t xml:space="preserve"/>
      </w:r>
    </w:p>
    <w:p>
      <w:pPr>
        <w:pBdr>
          <w:bottom w:val="single" w:color="AAAAAA" w:sz="4" w:space="1"/>
        </w:pBdr>
        <w:spacing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Yu Gothic" w:cs="Yu Gothic" w:eastAsia="Yu Gothic" w:hAnsi="Yu Gothic"/>
          <w:b/>
          <w:bCs/>
          <w:color w:val="333333"/>
          <w:sz w:val="20"/>
          <w:szCs w:val="20"/>
        </w:rPr>
        <w:t xml:space="preserve">© 2026 Apostle-of-Harmony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CC0000"/>
          <w:sz w:val="20"/>
          <w:szCs w:val="20"/>
        </w:rPr>
        <w:t xml:space="preserve">【無断転載・商用利用の禁止】</w:t>
      </w:r>
    </w:p>
    <w:p>
      <w:pPr>
        <w:spacing w:after="100"/>
        <w:jc w:val="center"/>
      </w:pPr>
      <w:r>
        <w:rPr>
          <w:rFonts w:ascii="Yu Gothic" w:cs="Yu Gothic" w:eastAsia="Yu Gothic" w:hAnsi="Yu Gothic"/>
          <w:color w:val="444444"/>
          <w:sz w:val="18"/>
          <w:szCs w:val="18"/>
        </w:rPr>
        <w:t xml:space="preserve">本資料の著作権は Apostle-of-Harmony に帰属します。</w:t>
      </w:r>
    </w:p>
    <w:p>
      <w:pPr>
        <w:spacing w:after="60"/>
        <w:jc w:val="center"/>
      </w:pPr>
      <w:r>
        <w:rPr>
          <w:rFonts w:ascii="Yu Gothic" w:cs="Yu Gothic" w:eastAsia="Yu Gothic" w:hAnsi="Yu Gothic"/>
          <w:color w:val="444444"/>
          <w:sz w:val="18"/>
          <w:szCs w:val="18"/>
        </w:rPr>
        <w:t xml:space="preserve">クリエイティブ・コモンズ 表示 - 非営利 4.0 国際 ライセンス (CC BY-NC 4.0) の下に公開されており、</w:t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444444"/>
          <w:sz w:val="18"/>
          <w:szCs w:val="18"/>
        </w:rPr>
        <w:t xml:space="preserve">著作者の許可なく営利目的（販売・有料公開・広告収益を伴う利用など）で使用することを固く禁じます。</w:t>
      </w:r>
    </w:p>
    <w:p>
      <w:pPr>
        <w:spacing w:after="80"/>
        <w:jc w:val="center"/>
      </w:pPr>
      <w:r>
        <w:rPr>
          <w:rFonts w:ascii="Yu Gothic" w:cs="Yu Gothic" w:eastAsia="Yu Gothic" w:hAnsi="Yu Gothic"/>
          <w:color w:val="444444"/>
          <w:sz w:val="18"/>
          <w:szCs w:val="18"/>
        </w:rPr>
        <w:t xml:space="preserve">営利利用の相談やお問い合わせ、引用に関するご連絡は以下のアドレスまでお願いいたします。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1F3864"/>
          <w:sz w:val="18"/>
          <w:szCs w:val="18"/>
        </w:rPr>
        <w:t xml:space="preserve">連絡先：tyouwa@protonmail.com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2026-03-09T07:14:43.641Z</dcterms:created>
  <dcterms:modified xsi:type="dcterms:W3CDTF">2026-03-09T07:14:43.642Z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