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純粋数学的アプローチによる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P≠NP 予想の証明</w:t>
      </w:r>
    </w:p>
    <w:p>
      <w:pPr>
        <w:pBdr>
          <w:bottom w:val="single" w:color="2E75B6" w:sz="8" w:space="4"/>
        </w:pBdr>
        <w:spacing w:before="0" w:after="4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作用素環論とスペクトル理論に基づくアプローチ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抽象計算状態空間の定義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まず、すべての計算状態を基底とする複素ベクトル空間（ヒルベルト空間）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 H </w:t>
      </w:r>
      <w:r>
        <w:rPr>
          <w:rFonts w:ascii="Arial" w:cs="Arial" w:eastAsia="Arial" w:hAnsi="Arial"/>
          <w:sz w:val="22"/>
          <w:szCs w:val="22"/>
        </w:rPr>
        <w:t xml:space="preserve">を定義する。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深さ作用素（Depth Operator）𝒟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ある計算状態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|S⟩</w:t>
      </w:r>
      <w:r>
        <w:rPr>
          <w:rFonts w:ascii="Arial" w:cs="Arial" w:eastAsia="Arial" w:hAnsi="Arial"/>
          <w:sz w:val="22"/>
          <w:szCs w:val="22"/>
        </w:rPr>
        <w:t xml:space="preserve"> に対し、その生成に要する最小ステップ数（演算深度）を固有値として返す自己共役作用素。</w:t>
      </w:r>
    </w:p>
    <w:p>
      <w:pPr>
        <w:shd w:fill="EBF3FB" w:val="clear"/>
        <w:spacing w:before="80" w:after="8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𝒟 |S⟩ = n |S⟩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（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 ∈ ℕ</w:t>
      </w:r>
      <w:r>
        <w:rPr>
          <w:rFonts w:ascii="Arial" w:cs="Arial" w:eastAsia="Arial" w:hAnsi="Arial"/>
          <w:sz w:val="22"/>
          <w:szCs w:val="22"/>
        </w:rPr>
        <w:t xml:space="preserve"> は離散的な演算ステップ数を示す）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計算複雑性作用素（Complexity Operator）𝒞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状態遷移における「探索空間の拡大率（情報の密度）」を定義する作用素。計算クラスに応じて以下の二つの形態を取る。</w:t>
      </w:r>
    </w:p>
    <w:p>
      <w:pPr>
        <w:spacing w:after="80"/>
        <w:ind w:left="480"/>
      </w:pPr>
      <w:r>
        <w:rPr>
          <w:rFonts w:ascii="Arial" w:cs="Arial" w:eastAsia="Arial" w:hAnsi="Arial"/>
          <w:sz w:val="22"/>
          <w:szCs w:val="22"/>
        </w:rPr>
        <w:t xml:space="preserve">● 検証作用素 𝒞</w:t>
      </w:r>
      <w:r>
        <w:rPr>
          <w:rFonts w:ascii="Arial" w:cs="Arial" w:eastAsia="Arial" w:hAnsi="Arial"/>
          <w:sz w:val="18"/>
          <w:szCs w:val="18"/>
          <w:vertAlign w:val="subscript"/>
        </w:rPr>
        <w:t xml:space="preserve">V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(P-Class)：</w:t>
      </w:r>
      <w:r>
        <w:rPr>
          <w:rFonts w:ascii="Arial" w:cs="Arial" w:eastAsia="Arial" w:hAnsi="Arial"/>
          <w:sz w:val="22"/>
          <w:szCs w:val="22"/>
        </w:rPr>
        <w:t xml:space="preserve"> 深度 n に対して拡大率が多項式オーダー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O(nᵏ)</w:t>
      </w:r>
      <w:r>
        <w:rPr>
          <w:rFonts w:ascii="Arial" w:cs="Arial" w:eastAsia="Arial" w:hAnsi="Arial"/>
          <w:sz w:val="22"/>
          <w:szCs w:val="22"/>
        </w:rPr>
        <w:t xml:space="preserve"> で制限される作用素。</w:t>
      </w:r>
    </w:p>
    <w:p>
      <w:pPr>
        <w:spacing w:after="240"/>
        <w:ind w:left="480"/>
      </w:pPr>
      <w:r>
        <w:rPr>
          <w:rFonts w:ascii="Arial" w:cs="Arial" w:eastAsia="Arial" w:hAnsi="Arial"/>
          <w:sz w:val="22"/>
          <w:szCs w:val="22"/>
        </w:rPr>
        <w:t xml:space="preserve">● 生成作用素 𝒞</w:t>
      </w:r>
      <w:r>
        <w:rPr>
          <w:rFonts w:ascii="Arial" w:cs="Arial" w:eastAsia="Arial" w:hAnsi="Arial"/>
          <w:sz w:val="18"/>
          <w:szCs w:val="18"/>
          <w:vertAlign w:val="subscript"/>
        </w:rPr>
        <w:t xml:space="preserve">G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(NP-Class)：</w:t>
      </w:r>
      <w:r>
        <w:rPr>
          <w:rFonts w:ascii="Arial" w:cs="Arial" w:eastAsia="Arial" w:hAnsi="Arial"/>
          <w:sz w:val="22"/>
          <w:szCs w:val="22"/>
        </w:rPr>
        <w:t xml:space="preserve"> 深度 n に対して拡大率が指数関数オーダー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O(2ⁿ)</w:t>
      </w:r>
      <w:r>
        <w:rPr>
          <w:rFonts w:ascii="Arial" w:cs="Arial" w:eastAsia="Arial" w:hAnsi="Arial"/>
          <w:sz w:val="22"/>
          <w:szCs w:val="22"/>
        </w:rPr>
        <w:t xml:space="preserve"> で爆発する作用素。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非換性による物理的時間（遅延）の数学的翻訳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物理的な「時間の矢」を、深さ作用素 𝒟 と複雑性作用素 𝒞 の交換子関係として記述する。</w:t>
      </w:r>
    </w:p>
    <w:p>
      <w:pPr>
        <w:shd w:fill="EBF3FB" w:val="clear"/>
        <w:spacing w:before="80" w:after="8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[𝒟, 𝒞V] ≠ [𝒟, 𝒞G]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この不等式は、検証プロセスと生成プロセスにおいて、計算ツリーを1ステップ深める際の「情報増分（ノルムの拡大）」が代数的に非対称であることを意味する。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エルミート性（自己共役性）の要請と背理法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系（宇宙の演算系）が情報の整合性を保ち、安定した固有値（真理）を出力し続けるためには、計算ハミルトニアン（全演算作用素） H</w:t>
      </w:r>
      <w:r>
        <w:rPr>
          <w:rFonts w:ascii="Arial" w:cs="Arial" w:eastAsia="Arial" w:hAnsi="Arial"/>
          <w:sz w:val="18"/>
          <w:szCs w:val="18"/>
          <w:vertAlign w:val="subscript"/>
        </w:rPr>
        <w:t xml:space="preserve">total</w:t>
      </w:r>
      <w:r>
        <w:rPr>
          <w:rFonts w:ascii="Arial" w:cs="Arial" w:eastAsia="Arial" w:hAnsi="Arial"/>
          <w:sz w:val="22"/>
          <w:szCs w:val="22"/>
        </w:rPr>
        <w:t xml:space="preserve"> がエルミート性を保持していなければならない。</w:t>
      </w:r>
    </w:p>
    <w:p>
      <w:pPr>
        <w:pBdr>
          <w:top w:val="single" w:color="1F4E79" w:sz="4"/>
          <w:left w:val="single" w:color="1F4E79" w:sz="4"/>
          <w:right w:val="single" w:color="1F4E79" w:sz="4"/>
        </w:pBdr>
        <w:shd w:fill="1F4E79" w:val="clear"/>
        <w:spacing w:before="160" w:after="8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【証明：背理法による P ≠ NP の導出】</w:t>
      </w:r>
    </w:p>
    <w:p>
      <w:pPr>
        <w:pBdr>
          <w:left w:val="single" w:color="2E75B6" w:sz="12"/>
          <w:right w:val="single" w:color="DDDDDD" w:sz="4"/>
        </w:pBdr>
        <w:spacing w:before="80" w:after="40"/>
        <w:ind w:left="320" w:right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仮定（Assumption）</w:t>
      </w:r>
    </w:p>
    <w:p>
      <w:pPr>
        <w:pBdr>
          <w:bottom w:val="single" w:color="EEEEEE" w:sz="1"/>
          <w:left w:val="single" w:color="2E75B6" w:sz="12"/>
          <w:right w:val="single" w:color="DDDDDD" w:sz="4"/>
        </w:pBdr>
        <w:spacing w:after="100"/>
        <w:ind w:left="320" w:right="160"/>
      </w:pPr>
      <w:r>
        <w:rPr>
          <w:rFonts w:ascii="Arial" w:cs="Arial" w:eastAsia="Arial" w:hAnsi="Arial"/>
          <w:sz w:val="22"/>
          <w:szCs w:val="22"/>
        </w:rPr>
        <w:t xml:space="preserve">P = NP であると仮定する。このとき、指数関数的な拡大率を持つ生成作用素 C</w:t>
      </w:r>
      <w:r>
        <w:rPr>
          <w:rFonts w:ascii="Arial" w:cs="Arial" w:eastAsia="Arial" w:hAnsi="Arial"/>
          <w:sz w:val="18"/>
          <w:szCs w:val="18"/>
          <w:vertAlign w:val="subscript"/>
        </w:rPr>
        <w:t xml:space="preserve">G</w:t>
      </w:r>
      <w:r>
        <w:rPr>
          <w:rFonts w:ascii="Arial" w:cs="Arial" w:eastAsia="Arial" w:hAnsi="Arial"/>
          <w:sz w:val="22"/>
          <w:szCs w:val="22"/>
        </w:rPr>
        <w:t xml:space="preserve"> を、多項式的な拡大率を持つ検証作用素 C</w:t>
      </w:r>
      <w:r>
        <w:rPr>
          <w:rFonts w:ascii="Arial" w:cs="Arial" w:eastAsia="Arial" w:hAnsi="Arial"/>
          <w:sz w:val="18"/>
          <w:szCs w:val="18"/>
          <w:vertAlign w:val="subscript"/>
        </w:rPr>
        <w:t xml:space="preserve">V</w:t>
      </w:r>
      <w:r>
        <w:rPr>
          <w:rFonts w:ascii="Arial" w:cs="Arial" w:eastAsia="Arial" w:hAnsi="Arial"/>
          <w:sz w:val="22"/>
          <w:szCs w:val="22"/>
        </w:rPr>
        <w:t xml:space="preserve"> へと完全に写像する同型写像（Isomorphism） U が存在しなければならない。</w:t>
      </w:r>
    </w:p>
    <w:p>
      <w:pPr>
        <w:shd w:fill="EBF3FB" w:val="clear"/>
        <w:spacing w:before="80" w:after="12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U CG U⁻¹ = CV</w:t>
      </w:r>
    </w:p>
    <w:p>
      <w:pPr>
        <w:pBdr>
          <w:left w:val="single" w:color="C00000" w:sz="12"/>
          <w:right w:val="single" w:color="DDDDDD" w:sz="4"/>
        </w:pBdr>
        <w:spacing w:before="120" w:after="40"/>
        <w:ind w:left="320" w:right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位相的矛盾（Topological Contradiction）</w:t>
      </w:r>
    </w:p>
    <w:p>
      <w:pPr>
        <w:pBdr>
          <w:bottom w:val="single" w:color="EEEEEE" w:sz="1"/>
          <w:left w:val="single" w:color="C00000" w:sz="12"/>
          <w:right w:val="single" w:color="DDDDDD" w:sz="4"/>
        </w:pBdr>
        <w:spacing w:after="100"/>
        <w:ind w:left="320" w:right="160"/>
      </w:pPr>
      <w:r>
        <w:rPr>
          <w:rFonts w:ascii="Arial" w:cs="Arial" w:eastAsia="Arial" w:hAnsi="Arial"/>
          <w:sz w:val="22"/>
          <w:szCs w:val="22"/>
        </w:rPr>
        <w:t xml:space="preserve">しかし、計算状態空間におけるエクスパンダー・グラフとしての拡大率（ノルム）が根本的に異なるため、指数的な情報密度を持つ C</w:t>
      </w:r>
      <w:r>
        <w:rPr>
          <w:rFonts w:ascii="Arial" w:cs="Arial" w:eastAsia="Arial" w:hAnsi="Arial"/>
          <w:sz w:val="18"/>
          <w:szCs w:val="18"/>
          <w:vertAlign w:val="subscript"/>
        </w:rPr>
        <w:t xml:space="preserve">G</w:t>
      </w:r>
      <w:r>
        <w:rPr>
          <w:rFonts w:ascii="Arial" w:cs="Arial" w:eastAsia="Arial" w:hAnsi="Arial"/>
          <w:sz w:val="22"/>
          <w:szCs w:val="22"/>
        </w:rPr>
        <w:t xml:space="preserve"> を多項式的な枠組みである C</w:t>
      </w:r>
      <w:r>
        <w:rPr>
          <w:rFonts w:ascii="Arial" w:cs="Arial" w:eastAsia="Arial" w:hAnsi="Arial"/>
          <w:sz w:val="18"/>
          <w:szCs w:val="18"/>
          <w:vertAlign w:val="subscript"/>
        </w:rPr>
        <w:t xml:space="preserve">V</w:t>
      </w:r>
      <w:r>
        <w:rPr>
          <w:rFonts w:ascii="Arial" w:cs="Arial" w:eastAsia="Arial" w:hAnsi="Arial"/>
          <w:sz w:val="22"/>
          <w:szCs w:val="22"/>
        </w:rPr>
        <w:t xml:space="preserve"> に押し込む写像 U は、全単射性を維持できず、情報の「縮退（散逸）」を伴う非ユニタリ（Non-unitary）な変換となる。</w:t>
      </w:r>
    </w:p>
    <w:p>
      <w:pPr>
        <w:shd w:fill="FFF0F0" w:val="clear"/>
        <w:spacing w:before="80" w:after="120"/>
        <w:jc w:val="center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U⁺ U ≠ I　（ユニタリ性の喪失）</w:t>
      </w:r>
    </w:p>
    <w:p>
      <w:pPr>
        <w:pBdr>
          <w:left w:val="single" w:color="7030A0" w:sz="12"/>
          <w:right w:val="single" w:color="DDDDDD" w:sz="4"/>
        </w:pBdr>
        <w:spacing w:before="120" w:after="40"/>
        <w:ind w:left="320" w:right="160"/>
      </w:pPr>
      <w:r>
        <w:rPr>
          <w:rFonts w:ascii="Arial" w:cs="Arial" w:eastAsia="Arial" w:hAnsi="Arial"/>
          <w:b/>
          <w:bCs/>
          <w:color w:val="7030A0"/>
          <w:sz w:val="22"/>
          <w:szCs w:val="22"/>
        </w:rPr>
        <w:t xml:space="preserve">整合性の崩壊（Breakdown of Consistency）</w:t>
      </w:r>
    </w:p>
    <w:p>
      <w:pPr>
        <w:pBdr>
          <w:bottom w:val="single" w:color="EEEEEE" w:sz="1"/>
          <w:left w:val="single" w:color="7030A0" w:sz="12"/>
          <w:right w:val="single" w:color="DDDDDD" w:sz="4"/>
        </w:pBdr>
        <w:spacing w:after="100"/>
        <w:ind w:left="320" w:right="160"/>
      </w:pPr>
      <w:r>
        <w:rPr>
          <w:rFonts w:ascii="Arial" w:cs="Arial" w:eastAsia="Arial" w:hAnsi="Arial"/>
          <w:sz w:val="22"/>
          <w:szCs w:val="22"/>
        </w:rPr>
        <w:t xml:space="preserve">計算系（宇宙OS）が真理を安定して出力し続けるためには、演算作用素 H</w:t>
      </w:r>
      <w:r>
        <w:rPr>
          <w:rFonts w:ascii="Arial" w:cs="Arial" w:eastAsia="Arial" w:hAnsi="Arial"/>
          <w:sz w:val="18"/>
          <w:szCs w:val="18"/>
          <w:vertAlign w:val="subscript"/>
        </w:rPr>
        <w:t xml:space="preserve">total</w:t>
      </w:r>
      <w:r>
        <w:rPr>
          <w:rFonts w:ascii="Arial" w:cs="Arial" w:eastAsia="Arial" w:hAnsi="Arial"/>
          <w:sz w:val="22"/>
          <w:szCs w:val="22"/>
        </w:rPr>
        <w:t xml:space="preserve"> がエルミート（自己共役）でなければならない。しかし、非ユニタリ変換 U を介した系では、演算子のエルミート性が不可逆的に破壊される。</w:t>
      </w:r>
    </w:p>
    <w:p>
      <w:pPr>
        <w:shd w:fill="F5F0FF" w:val="clear"/>
        <w:spacing w:before="80" w:after="80"/>
        <w:jc w:val="center"/>
      </w:pPr>
      <w:r>
        <w:rPr>
          <w:rFonts w:ascii="Arial" w:cs="Arial" w:eastAsia="Arial" w:hAnsi="Arial"/>
          <w:b/>
          <w:bCs/>
          <w:color w:val="7030A0"/>
          <w:sz w:val="24"/>
          <w:szCs w:val="24"/>
        </w:rPr>
        <w:t xml:space="preserve">H_total ≠ H_total⁺</w:t>
      </w:r>
    </w:p>
    <w:p>
      <w:pPr>
        <w:pBdr>
          <w:left w:val="single" w:color="7030A0" w:sz="12"/>
          <w:right w:val="single" w:color="DDDDDD" w:sz="4"/>
        </w:pBdr>
        <w:spacing w:after="120"/>
        <w:ind w:left="320" w:right="160"/>
      </w:pPr>
      <w:r>
        <w:rPr>
          <w:rFonts w:ascii="Arial" w:cs="Arial" w:eastAsia="Arial" w:hAnsi="Arial"/>
          <w:sz w:val="22"/>
          <w:szCs w:val="22"/>
        </w:rPr>
        <w:t xml:space="preserve">この結果、系の固有値（ゼータ関数の零点等）は実数軸（Re(s)=1/2）から散逸し、数学的実在の整合性が失われる。</w:t>
      </w:r>
    </w:p>
    <w:p>
      <w:pPr>
        <w:pBdr>
          <w:left w:val="single" w:color="375623" w:sz="12"/>
          <w:right w:val="single" w:color="DDDDDD" w:sz="4"/>
        </w:pBdr>
        <w:spacing w:before="120" w:after="40"/>
        <w:ind w:left="320" w:right="1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帰結（Conclusion）</w:t>
      </w:r>
    </w:p>
    <w:p>
      <w:pPr>
        <w:pBdr>
          <w:left w:val="single" w:color="375623" w:sz="12"/>
          <w:right w:val="single" w:color="DDDDDD" w:sz="4"/>
        </w:pBdr>
        <w:spacing w:after="100"/>
        <w:ind w:left="320" w:right="160"/>
      </w:pPr>
      <w:r>
        <w:rPr>
          <w:rFonts w:ascii="Arial" w:cs="Arial" w:eastAsia="Arial" w:hAnsi="Arial"/>
          <w:sz w:val="22"/>
          <w:szCs w:val="22"/>
        </w:rPr>
        <w:t xml:space="preserve">リーマン予想に代表される数学的整合性が現に存在している（系が安定稼働している）という事実に照らせば、非エルミート性を招く「P = NP」の仮定は偽である。</w:t>
      </w:r>
    </w:p>
    <w:p>
      <w:pPr>
        <w:pBdr>
          <w:top w:val="double" w:color="1F4E79" w:sz="6"/>
          <w:bottom w:val="double" w:color="1F4E79" w:sz="6"/>
          <w:left w:val="double" w:color="1F4E79" w:sz="6"/>
          <w:right w:val="double" w:color="1F4E79" w:sz="6"/>
        </w:pBdr>
        <w:shd w:fill="EBF3FB" w:val="clear"/>
        <w:spacing w:before="160" w:after="16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∴ P ≠ NP　　Q.E.D.</w:t>
      </w:r>
    </w:p>
    <w:p>
      <w:pPr>
        <w:pBdr>
          <w:top w:val="single" w:color="BBBBBB" w:sz="2" w:space="4"/>
        </w:pBdr>
        <w:spacing w:before="400" w:after="8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著作権・ライセンス情報</w:t>
      </w:r>
    </w:p>
    <w:p>
      <w:pPr>
        <w:spacing w:after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© 2026 Apostle-of-Harmony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0000"/>
          <w:sz w:val="19"/>
          <w:szCs w:val="19"/>
        </w:rPr>
        <w:t xml:space="preserve">【無断転載・商用利用の禁止】</w:t>
      </w:r>
    </w:p>
    <w:p>
      <w:pPr>
        <w:spacing w:after="8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本資料の著作権は Apostle-of-Harmony に帰属します。クリエイティブ・コモンズ 表示 - 非営利 4.0 国際 ライセンス（CC BY-NC 4.0）の下に公開されており、著作者の許可なく営利目的（販売・有料公開・広告収益を伴う利用など）で使用することを固く禁じます。</w:t>
      </w:r>
    </w:p>
    <w:p>
      <w:pPr>
        <w:spacing w:after="8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営利利用の相談やお問い合わせ、引用に関するご連絡は以下のアドレスまでお願いいたします。</w:t>
      </w:r>
    </w:p>
    <w:p>
      <w:pPr>
        <w:spacing w:after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連絡先：</w:t>
      </w:r>
      <w:r>
        <w:rPr>
          <w:rFonts w:ascii="Arial" w:cs="Arial" w:eastAsia="Arial" w:hAnsi="Arial"/>
          <w:color w:val="2E75B6"/>
          <w:sz w:val="19"/>
          <w:szCs w:val="19"/>
        </w:rPr>
        <w:t xml:space="preserve">tyouwa@protonmail.com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© 2026 Apostle-of-Harmony　|　CC BY-NC 4.0　|　tyouwa@protonmail.com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before="320" w:after="1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2026-03-09T22:36:59.538Z</dcterms:created>
  <dcterms:modified xsi:type="dcterms:W3CDTF">2026-03-09T22:36:59.539Z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