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.1880923500753"/>
        <w:gridCol w:w="2083.172961082215"/>
        <w:gridCol w:w="2578.044365864189"/>
        <w:gridCol w:w="2889.106391727144"/>
        <w:tblGridChange w:id="0">
          <w:tblGrid>
            <w:gridCol w:w="1475.1880923500753"/>
            <w:gridCol w:w="2083.172961082215"/>
            <w:gridCol w:w="2578.044365864189"/>
            <w:gridCol w:w="2889.106391727144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BPharm – Bachelor of Pharmacy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MPharm – Master of Pharmacy (Integrated)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rtl w:val="0"/>
              </w:rPr>
              <w:t xml:space="preserve">PharmD – Doctor of Pharmacy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Typical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 years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UK/Ireland: 4 years (UK) or 5 years (Ireland); EU: 5 years in some countries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EU (Hungary, etc.): 5 years; US/Canada: 6 years (2 pre‑pharmacy + 4 professional)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Direct from high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Direct from high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EU: Direct from high school; US/Canada: after pre‑pharmacy coursework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Academic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Undergraduate bachelor’s degree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Undergraduate integrated master’s (UK/EU); sometimes postgraduate in 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Professional doctorate (entry‑level)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Pharmaceutical sciences, formulation, basic pharmacy practice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Balanced: science + clinical pharmacy + placements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Clinical pharmacy, patient care, therapeutics, interprofessional healthcare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Clinical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Limited; usually final‑year internship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Significant placements throughout program (UK: ~1,000 hours)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Extensive clinical rotations (US: ~1,740 hours; EU: substantial placements in final years)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Research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Minimal to 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Final‑year research project/dissertation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Optional; focus on clinical practice (research possible in electives)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Licensing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Eligible for pharmacist registration in countries recognising BPharm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Meets EU Directive requirements for pharmacist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Meets national pharmacist registration requirements (GPhC in UK if accredited; ACPE/CCAPP in US/Canada)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Common 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India, Pakistan, Nigeria, Malaysia, parts of Middle East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UK, Ireland, Australia, NZ, parts of EU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EU (Hungary, Poland, Baltics), US, Canada, Japan, Saudi Arabia, Philippines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Career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Industry, manufacturing, regulatory affairs, community pharmacy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Community/hospital pharmacy, industry, academia, regulatory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Clinical pharmacy, hospital practice, ambulatory care, specialist prescribing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Further Study Pathways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MPharm, MSc, PharmD, PhD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PhD, clinical specialisation, prescribing qualifications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Post‑graduate residencies (PGY1/PGY2), fellowships, PhD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18"/>
                <w:szCs w:val="18"/>
                <w:rtl w:val="0"/>
              </w:rPr>
              <w:t xml:space="preserve">Example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University of Mumbai (India), University of Malaya (Malaysia)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UCL, King’s, Nottingham, Trinity College Dublin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University of Szeged (Hungary), Semmelweis University (Hungary), University of Toronto (Canada), University of California San Francisco (USA)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