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gpfet5zet62u" w:id="0"/>
      <w:bookmarkEnd w:id="0"/>
      <w:r w:rsidDel="00000000" w:rsidR="00000000" w:rsidRPr="00000000">
        <w:rPr>
          <w:b w:val="1"/>
          <w:bCs w:val="1"/>
          <w:rtl w:val="0"/>
        </w:rPr>
        <w:t xml:space="preserve">Project Report: Week 2 deliverable of Data Visualization Intern by Excelerate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bCs w:val="1"/>
          <w:sz w:val="36"/>
          <w:szCs w:val="36"/>
        </w:rPr>
      </w:pPr>
      <w:r w:rsidDel="00000000" w:rsidR="00000000" w:rsidRPr="00000000">
        <w:rPr>
          <w:b w:val="1"/>
          <w:bCs w:val="1"/>
          <w:sz w:val="36"/>
          <w:szCs w:val="36"/>
          <w:rtl w:val="0"/>
        </w:rPr>
        <w:t xml:space="preserve">Team : 06</w:t>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rPr>
          <w:b w:val="1"/>
          <w:bCs w:val="1"/>
          <w:sz w:val="36"/>
          <w:szCs w:val="36"/>
        </w:rPr>
      </w:pPr>
      <w:r w:rsidDel="00000000" w:rsidR="00000000" w:rsidRPr="00000000">
        <w:rPr>
          <w:b w:val="1"/>
          <w:bCs w:val="1"/>
          <w:sz w:val="36"/>
          <w:szCs w:val="36"/>
          <w:rtl w:val="0"/>
        </w:rPr>
        <w:t xml:space="preserve">Date of Submission: 16.02.2026</w:t>
      </w:r>
    </w:p>
    <w:p w:rsidR="00000000" w:rsidDel="00000000" w:rsidP="00000000" w:rsidRDefault="00000000" w:rsidRPr="00000000" w14:paraId="00000006">
      <w:pPr>
        <w:rPr>
          <w:sz w:val="36"/>
          <w:szCs w:val="36"/>
        </w:rPr>
      </w:pP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rtl w:val="0"/>
        </w:rPr>
      </w:r>
    </w:p>
    <w:p w:rsidR="00000000" w:rsidDel="00000000" w:rsidP="00000000" w:rsidRDefault="00000000" w:rsidRPr="00000000" w14:paraId="00000008">
      <w:pPr>
        <w:rPr>
          <w:b w:val="1"/>
          <w:bCs w:val="1"/>
          <w:sz w:val="36"/>
          <w:szCs w:val="36"/>
        </w:rPr>
      </w:pPr>
      <w:r w:rsidDel="00000000" w:rsidR="00000000" w:rsidRPr="00000000">
        <w:rPr>
          <w:b w:val="1"/>
          <w:bCs w:val="1"/>
          <w:sz w:val="36"/>
          <w:szCs w:val="36"/>
          <w:rtl w:val="0"/>
        </w:rPr>
        <w:t xml:space="preserve">Project Title: </w:t>
      </w:r>
    </w:p>
    <w:p w:rsidR="00000000" w:rsidDel="00000000" w:rsidP="00000000" w:rsidRDefault="00000000" w:rsidRPr="00000000" w14:paraId="00000009">
      <w:pPr>
        <w:rPr>
          <w:b w:val="1"/>
          <w:bCs w:val="1"/>
          <w:sz w:val="36"/>
          <w:szCs w:val="36"/>
        </w:rPr>
      </w:pPr>
      <w:r w:rsidDel="00000000" w:rsidR="00000000" w:rsidRPr="00000000">
        <w:rPr>
          <w:b w:val="1"/>
          <w:bCs w:val="1"/>
          <w:sz w:val="36"/>
          <w:szCs w:val="36"/>
          <w:rtl w:val="0"/>
        </w:rPr>
        <w:t xml:space="preserve">Unified Admissions Intelligence: Integrating &amp; Visualizing Saint Louis University Applicant Data</w:t>
      </w:r>
    </w:p>
    <w:p w:rsidR="00000000" w:rsidDel="00000000" w:rsidP="00000000" w:rsidRDefault="00000000" w:rsidRPr="00000000" w14:paraId="0000000A">
      <w:pPr>
        <w:rPr>
          <w:sz w:val="36"/>
          <w:szCs w:val="36"/>
        </w:rPr>
      </w:pPr>
      <w:r w:rsidDel="00000000" w:rsidR="00000000" w:rsidRPr="00000000">
        <w:rPr>
          <w:rtl w:val="0"/>
        </w:rPr>
      </w:r>
    </w:p>
    <w:p w:rsidR="00000000" w:rsidDel="00000000" w:rsidP="00000000" w:rsidRDefault="00000000" w:rsidRPr="00000000" w14:paraId="0000000B">
      <w:pPr>
        <w:rPr>
          <w:b w:val="1"/>
          <w:bCs w:val="1"/>
          <w:sz w:val="36"/>
          <w:szCs w:val="36"/>
        </w:rPr>
      </w:pPr>
      <w:r w:rsidDel="00000000" w:rsidR="00000000" w:rsidRPr="00000000">
        <w:rPr>
          <w:b w:val="1"/>
          <w:bCs w:val="1"/>
          <w:sz w:val="36"/>
          <w:szCs w:val="36"/>
          <w:rtl w:val="0"/>
        </w:rPr>
        <w:t xml:space="preserve">Executive Summary</w:t>
      </w:r>
    </w:p>
    <w:p w:rsidR="00000000" w:rsidDel="00000000" w:rsidP="00000000" w:rsidRDefault="00000000" w:rsidRPr="00000000" w14:paraId="0000000C">
      <w:pPr>
        <w:rPr>
          <w:sz w:val="36"/>
          <w:szCs w:val="36"/>
        </w:rPr>
      </w:pP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rPr>
          <w:sz w:val="32"/>
          <w:szCs w:val="32"/>
          <w:rtl w:val="0"/>
        </w:rPr>
        <w:t xml:space="preserve">This project attempts to unify fragmented admissions data from four disparate sources into a single, reliable PostgreSQL warehouse, enabling real-time strategic decision-making for the first time. By cleaning and standardizing over 6,800 application records, resolving critical issues like scientific notation errors and missing data, we constructed a live Looker Studio dashboard that reveals a healthy 37.8% admission rate and a robust $13.4 million in potential tuition revenue. The analysis highlights a strong 58% yield from admitted students but exposes a significant dependency on two key markets (India and Nigeria) and a data quality gap where 90%+ of applicant location data (Country) is missing, necessitating an immediate shift to tracking Citizenship for accurate regional targeting.</w:t>
      </w:r>
      <w:r w:rsidDel="00000000" w:rsidR="00000000" w:rsidRPr="00000000">
        <w:br w:type="page"/>
      </w: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1. Functional Looker Studio Dashboard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This Dashboard presents key information regarding the combined dataset of the Applicants.</w:t>
      </w:r>
      <w:r w:rsidDel="00000000" w:rsidR="00000000" w:rsidRPr="00000000">
        <w:rPr>
          <w:rtl w:val="0"/>
        </w:rPr>
      </w:r>
    </w:p>
    <w:p w:rsidR="00000000" w:rsidDel="00000000" w:rsidP="00000000" w:rsidRDefault="00000000" w:rsidRPr="00000000" w14:paraId="00000011">
      <w:pPr>
        <w:spacing w:after="240" w:before="240" w:lineRule="auto"/>
        <w:ind w:left="0" w:firstLine="0"/>
        <w:rPr>
          <w:sz w:val="24"/>
          <w:szCs w:val="24"/>
        </w:rPr>
      </w:pPr>
      <w:r w:rsidDel="00000000" w:rsidR="00000000" w:rsidRPr="00000000">
        <w:rPr>
          <w:b w:val="1"/>
          <w:bCs w:val="1"/>
          <w:sz w:val="24"/>
          <w:szCs w:val="24"/>
          <w:rtl w:val="0"/>
        </w:rPr>
        <w:t xml:space="preserve">Link to the Dashboard:</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https://lookerstudio.google.com/reporting/82aa2ea5-513e-4153-aeb2-1f4627d318b7</w:t>
        </w:r>
      </w:hyperlink>
      <w:r w:rsidDel="00000000" w:rsidR="00000000" w:rsidRPr="00000000">
        <w:rPr>
          <w:sz w:val="24"/>
          <w:szCs w:val="24"/>
          <w:rtl w:val="0"/>
        </w:rPr>
        <w:t xml:space="preserve">]</w:t>
      </w:r>
    </w:p>
    <w:p w:rsidR="00000000" w:rsidDel="00000000" w:rsidP="00000000" w:rsidRDefault="00000000" w:rsidRPr="00000000" w14:paraId="00000012">
      <w:pPr>
        <w:spacing w:after="240" w:before="240" w:lineRule="auto"/>
        <w:ind w:left="0" w:firstLine="0"/>
        <w:rPr>
          <w:i w:val="1"/>
          <w:iCs w:val="1"/>
          <w:sz w:val="24"/>
          <w:szCs w:val="24"/>
        </w:rPr>
      </w:pPr>
      <w:r w:rsidDel="00000000" w:rsidR="00000000" w:rsidRPr="00000000">
        <w:rPr>
          <w:b w:val="1"/>
          <w:bCs w:val="1"/>
          <w:sz w:val="24"/>
          <w:szCs w:val="24"/>
          <w:rtl w:val="0"/>
        </w:rPr>
        <w:t xml:space="preserve">Dashboard Overview (Screenshot):</w:t>
      </w:r>
      <w:r w:rsidDel="00000000" w:rsidR="00000000" w:rsidRPr="00000000">
        <w:rPr>
          <w:b w:val="1"/>
          <w:bCs w:val="1"/>
          <w:sz w:val="24"/>
          <w:szCs w:val="24"/>
        </w:rPr>
        <w:drawing>
          <wp:inline distB="114300" distT="114300" distL="114300" distR="114300">
            <wp:extent cx="5943600" cy="3327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27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3">
      <w:pPr>
        <w:spacing w:after="240" w:before="240" w:lineRule="auto"/>
        <w:ind w:left="0" w:firstLine="0"/>
        <w:rPr>
          <w:b w:val="1"/>
          <w:bCs w:val="1"/>
          <w:sz w:val="28"/>
          <w:szCs w:val="28"/>
        </w:rPr>
      </w:pPr>
      <w:r w:rsidDel="00000000" w:rsidR="00000000" w:rsidRPr="00000000">
        <w:rPr>
          <w:b w:val="1"/>
          <w:bCs w:val="1"/>
          <w:sz w:val="28"/>
          <w:szCs w:val="28"/>
          <w:rtl w:val="0"/>
        </w:rPr>
        <w:t xml:space="preserve">2. Data Management</w:t>
      </w:r>
    </w:p>
    <w:p w:rsidR="00000000" w:rsidDel="00000000" w:rsidP="00000000" w:rsidRDefault="00000000" w:rsidRPr="00000000" w14:paraId="00000014">
      <w:pPr>
        <w:spacing w:after="240" w:before="240" w:lineRule="auto"/>
        <w:rPr>
          <w:sz w:val="24"/>
          <w:szCs w:val="24"/>
        </w:rPr>
      </w:pPr>
      <w:r w:rsidDel="00000000" w:rsidR="00000000" w:rsidRPr="00000000">
        <w:rPr>
          <w:b w:val="1"/>
          <w:bCs w:val="1"/>
          <w:sz w:val="24"/>
          <w:szCs w:val="24"/>
          <w:rtl w:val="0"/>
        </w:rPr>
        <w:t xml:space="preserve">Primary Database System:</w:t>
      </w:r>
      <w:r w:rsidDel="00000000" w:rsidR="00000000" w:rsidRPr="00000000">
        <w:rPr>
          <w:sz w:val="24"/>
          <w:szCs w:val="24"/>
          <w:rtl w:val="0"/>
        </w:rPr>
        <w:t xml:space="preserve"> PostgreSQL (pgAdmin 4)</w:t>
      </w:r>
    </w:p>
    <w:p w:rsidR="00000000" w:rsidDel="00000000" w:rsidP="00000000" w:rsidRDefault="00000000" w:rsidRPr="00000000" w14:paraId="00000015">
      <w:pPr>
        <w:spacing w:after="240" w:before="240" w:lineRule="auto"/>
        <w:rPr>
          <w:sz w:val="24"/>
          <w:szCs w:val="24"/>
        </w:rPr>
      </w:pPr>
      <w:r w:rsidDel="00000000" w:rsidR="00000000" w:rsidRPr="00000000">
        <w:rPr>
          <w:b w:val="1"/>
          <w:bCs w:val="1"/>
          <w:sz w:val="24"/>
          <w:szCs w:val="24"/>
          <w:rtl w:val="0"/>
        </w:rPr>
        <w:t xml:space="preserve">Connection:</w:t>
      </w:r>
      <w:r w:rsidDel="00000000" w:rsidR="00000000" w:rsidRPr="00000000">
        <w:rPr>
          <w:sz w:val="24"/>
          <w:szCs w:val="24"/>
          <w:rtl w:val="0"/>
        </w:rPr>
        <w:t xml:space="preserve"> Uploaded CSV to Looker Studio. </w:t>
      </w:r>
    </w:p>
    <w:p w:rsidR="00000000" w:rsidDel="00000000" w:rsidP="00000000" w:rsidRDefault="00000000" w:rsidRPr="00000000" w14:paraId="00000016">
      <w:pPr>
        <w:spacing w:after="240" w:before="240" w:lineRule="auto"/>
        <w:rPr>
          <w:sz w:val="24"/>
          <w:szCs w:val="24"/>
        </w:rPr>
      </w:pPr>
      <w:r w:rsidDel="00000000" w:rsidR="00000000" w:rsidRPr="00000000">
        <w:rPr>
          <w:b w:val="1"/>
          <w:bCs w:val="1"/>
          <w:sz w:val="24"/>
          <w:szCs w:val="24"/>
          <w:rtl w:val="0"/>
        </w:rPr>
        <w:t xml:space="preserve">Final Master Dataset:</w:t>
      </w:r>
      <w:r w:rsidDel="00000000" w:rsidR="00000000" w:rsidRPr="00000000">
        <w:rPr>
          <w:sz w:val="24"/>
          <w:szCs w:val="24"/>
          <w:rtl w:val="0"/>
        </w:rPr>
        <w:t xml:space="preserve"> </w:t>
      </w:r>
      <w:hyperlink r:id="rId8">
        <w:r w:rsidDel="00000000" w:rsidR="00000000" w:rsidRPr="00000000">
          <w:rPr>
            <w:color w:val="0000ee"/>
            <w:sz w:val="24"/>
            <w:szCs w:val="24"/>
            <w:u w:val="single"/>
            <w:rtl w:val="0"/>
          </w:rPr>
          <w:t xml:space="preserve">Master Dataset for Applicants</w:t>
        </w:r>
      </w:hyperlink>
      <w:r w:rsidDel="00000000" w:rsidR="00000000" w:rsidRPr="00000000">
        <w:rPr>
          <w:rtl w:val="0"/>
        </w:rPr>
      </w:r>
    </w:p>
    <w:p w:rsidR="00000000" w:rsidDel="00000000" w:rsidP="00000000" w:rsidRDefault="00000000" w:rsidRPr="00000000" w14:paraId="00000017">
      <w:pPr>
        <w:spacing w:after="240" w:before="240" w:lineRule="auto"/>
        <w:rPr>
          <w:sz w:val="24"/>
          <w:szCs w:val="24"/>
        </w:rPr>
      </w:pPr>
      <w:r w:rsidDel="00000000" w:rsidR="00000000" w:rsidRPr="00000000">
        <w:rPr>
          <w:b w:val="1"/>
          <w:bCs w:val="1"/>
          <w:sz w:val="24"/>
          <w:szCs w:val="24"/>
          <w:rtl w:val="0"/>
        </w:rPr>
        <w:t xml:space="preserve">Raw Sources:</w:t>
      </w:r>
      <w:r w:rsidDel="00000000" w:rsidR="00000000" w:rsidRPr="00000000">
        <w:rPr>
          <w:sz w:val="24"/>
          <w:szCs w:val="24"/>
          <w:rtl w:val="0"/>
        </w:rPr>
        <w:t xml:space="preserve"> </w:t>
      </w:r>
      <w:r w:rsidDel="00000000" w:rsidR="00000000" w:rsidRPr="00000000">
        <w:rPr>
          <w:sz w:val="24"/>
          <w:szCs w:val="24"/>
          <w:rtl w:val="0"/>
        </w:rPr>
        <w:t xml:space="preserve">Applicant.csv</w:t>
      </w:r>
      <w:r w:rsidDel="00000000" w:rsidR="00000000" w:rsidRPr="00000000">
        <w:rPr>
          <w:sz w:val="24"/>
          <w:szCs w:val="24"/>
          <w:rtl w:val="0"/>
        </w:rPr>
        <w:t xml:space="preserve">, </w:t>
      </w:r>
      <w:r w:rsidDel="00000000" w:rsidR="00000000" w:rsidRPr="00000000">
        <w:rPr>
          <w:sz w:val="24"/>
          <w:szCs w:val="24"/>
          <w:rtl w:val="0"/>
        </w:rPr>
        <w:t xml:space="preserve">Connect.csv</w:t>
      </w:r>
      <w:r w:rsidDel="00000000" w:rsidR="00000000" w:rsidRPr="00000000">
        <w:rPr>
          <w:sz w:val="24"/>
          <w:szCs w:val="24"/>
          <w:rtl w:val="0"/>
        </w:rPr>
        <w:t xml:space="preserve">, </w:t>
      </w:r>
      <w:r w:rsidDel="00000000" w:rsidR="00000000" w:rsidRPr="00000000">
        <w:rPr>
          <w:sz w:val="24"/>
          <w:szCs w:val="24"/>
          <w:rtl w:val="0"/>
        </w:rPr>
        <w:t xml:space="preserve">Outreach_Data.csv</w:t>
      </w:r>
      <w:r w:rsidDel="00000000" w:rsidR="00000000" w:rsidRPr="00000000">
        <w:rPr>
          <w:sz w:val="24"/>
          <w:szCs w:val="24"/>
          <w:rtl w:val="0"/>
        </w:rPr>
        <w:t xml:space="preserve">, </w:t>
      </w:r>
      <w:r w:rsidDel="00000000" w:rsidR="00000000" w:rsidRPr="00000000">
        <w:rPr>
          <w:sz w:val="24"/>
          <w:szCs w:val="24"/>
          <w:rtl w:val="0"/>
        </w:rPr>
        <w:t xml:space="preserve">SEVIS.csv</w:t>
      </w:r>
      <w:r w:rsidDel="00000000" w:rsidR="00000000" w:rsidRPr="00000000">
        <w:rPr>
          <w:sz w:val="24"/>
          <w:szCs w:val="24"/>
          <w:rtl w:val="0"/>
        </w:rPr>
        <w:t xml:space="preserve">.</w:t>
      </w:r>
    </w:p>
    <w:p w:rsidR="00000000" w:rsidDel="00000000" w:rsidP="00000000" w:rsidRDefault="00000000" w:rsidRPr="00000000" w14:paraId="00000018">
      <w:pPr>
        <w:pStyle w:val="Heading3"/>
        <w:keepNext w:val="0"/>
        <w:keepLines w:val="0"/>
        <w:spacing w:before="280" w:lineRule="auto"/>
        <w:rPr>
          <w:b w:val="1"/>
          <w:bCs w:val="1"/>
          <w:color w:val="000000"/>
          <w:sz w:val="24"/>
          <w:szCs w:val="24"/>
        </w:rPr>
      </w:pPr>
      <w:bookmarkStart w:colFirst="0" w:colLast="0" w:name="_knmv8slguj14" w:id="1"/>
      <w:bookmarkEnd w:id="1"/>
      <w:r w:rsidDel="00000000" w:rsidR="00000000" w:rsidRPr="00000000">
        <w:rPr>
          <w:b w:val="1"/>
          <w:bCs w:val="1"/>
          <w:color w:val="000000"/>
          <w:sz w:val="24"/>
          <w:szCs w:val="24"/>
          <w:rtl w:val="0"/>
        </w:rPr>
        <w:t xml:space="preserve">Connection &amp; Cleaning Steps: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following pipeline was executed to ensure data integrity:</w:t>
      </w:r>
    </w:p>
    <w:p w:rsidR="00000000" w:rsidDel="00000000" w:rsidP="00000000" w:rsidRDefault="00000000" w:rsidRPr="00000000" w14:paraId="0000001A">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Staging:</w:t>
      </w:r>
      <w:r w:rsidDel="00000000" w:rsidR="00000000" w:rsidRPr="00000000">
        <w:rPr>
          <w:sz w:val="24"/>
          <w:szCs w:val="24"/>
          <w:rtl w:val="0"/>
        </w:rPr>
        <w:t xml:space="preserve"> Created raw tables (</w:t>
      </w:r>
      <w:r w:rsidDel="00000000" w:rsidR="00000000" w:rsidRPr="00000000">
        <w:rPr>
          <w:sz w:val="24"/>
          <w:szCs w:val="24"/>
          <w:rtl w:val="0"/>
        </w:rPr>
        <w:t xml:space="preserve">applicant_raw</w:t>
      </w:r>
      <w:r w:rsidDel="00000000" w:rsidR="00000000" w:rsidRPr="00000000">
        <w:rPr>
          <w:sz w:val="24"/>
          <w:szCs w:val="24"/>
          <w:rtl w:val="0"/>
        </w:rPr>
        <w:t xml:space="preserve">, </w:t>
      </w:r>
      <w:r w:rsidDel="00000000" w:rsidR="00000000" w:rsidRPr="00000000">
        <w:rPr>
          <w:sz w:val="24"/>
          <w:szCs w:val="24"/>
          <w:rtl w:val="0"/>
        </w:rPr>
        <w:t xml:space="preserve">connect_raw</w:t>
      </w:r>
      <w:r w:rsidDel="00000000" w:rsidR="00000000" w:rsidRPr="00000000">
        <w:rPr>
          <w:sz w:val="24"/>
          <w:szCs w:val="24"/>
          <w:rtl w:val="0"/>
        </w:rPr>
        <w:t xml:space="preserve">, etc.) to load CSVs "as-is" to prevent import errors.</w:t>
      </w:r>
    </w:p>
    <w:p w:rsidR="00000000" w:rsidDel="00000000" w:rsidP="00000000" w:rsidRDefault="00000000" w:rsidRPr="00000000" w14:paraId="0000001B">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Cleaning:</w:t>
      </w:r>
    </w:p>
    <w:p w:rsidR="00000000" w:rsidDel="00000000" w:rsidP="00000000" w:rsidRDefault="00000000" w:rsidRPr="00000000" w14:paraId="0000001C">
      <w:pPr>
        <w:numPr>
          <w:ilvl w:val="1"/>
          <w:numId w:val="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Scientific Notation Fix:</w:t>
      </w:r>
      <w:r w:rsidDel="00000000" w:rsidR="00000000" w:rsidRPr="00000000">
        <w:rPr>
          <w:sz w:val="24"/>
          <w:szCs w:val="24"/>
          <w:rtl w:val="0"/>
        </w:rPr>
        <w:t xml:space="preserve"> Converted Unix timestamp integers (e.g., </w:t>
      </w:r>
      <w:r w:rsidDel="00000000" w:rsidR="00000000" w:rsidRPr="00000000">
        <w:rPr>
          <w:sz w:val="24"/>
          <w:szCs w:val="24"/>
          <w:rtl w:val="0"/>
        </w:rPr>
        <w:t xml:space="preserve">1.75E+12</w:t>
      </w:r>
      <w:r w:rsidDel="00000000" w:rsidR="00000000" w:rsidRPr="00000000">
        <w:rPr>
          <w:sz w:val="24"/>
          <w:szCs w:val="24"/>
          <w:rtl w:val="0"/>
        </w:rPr>
        <w:t xml:space="preserve">) into readable timestamps using </w:t>
      </w:r>
      <w:r w:rsidDel="00000000" w:rsidR="00000000" w:rsidRPr="00000000">
        <w:rPr>
          <w:sz w:val="24"/>
          <w:szCs w:val="24"/>
          <w:rtl w:val="0"/>
        </w:rPr>
        <w:t xml:space="preserve">TO_TIMESTAMP(column::NUMERIC / 1000)</w:t>
      </w:r>
      <w:r w:rsidDel="00000000" w:rsidR="00000000" w:rsidRPr="00000000">
        <w:rPr>
          <w:sz w:val="24"/>
          <w:szCs w:val="24"/>
          <w:rtl w:val="0"/>
        </w:rPr>
        <w:t xml:space="preserve">.</w:t>
      </w:r>
    </w:p>
    <w:p w:rsidR="00000000" w:rsidDel="00000000" w:rsidP="00000000" w:rsidRDefault="00000000" w:rsidRPr="00000000" w14:paraId="0000001D">
      <w:pPr>
        <w:numPr>
          <w:ilvl w:val="1"/>
          <w:numId w:val="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NULL Handling:</w:t>
      </w:r>
      <w:r w:rsidDel="00000000" w:rsidR="00000000" w:rsidRPr="00000000">
        <w:rPr>
          <w:sz w:val="24"/>
          <w:szCs w:val="24"/>
          <w:rtl w:val="0"/>
        </w:rPr>
        <w:t xml:space="preserve"> Used </w:t>
      </w:r>
      <w:r w:rsidDel="00000000" w:rsidR="00000000" w:rsidRPr="00000000">
        <w:rPr>
          <w:sz w:val="24"/>
          <w:szCs w:val="24"/>
          <w:rtl w:val="0"/>
        </w:rPr>
        <w:t xml:space="preserve">NULLIF(column, 'NULL')</w:t>
      </w:r>
      <w:r w:rsidDel="00000000" w:rsidR="00000000" w:rsidRPr="00000000">
        <w:rPr>
          <w:sz w:val="24"/>
          <w:szCs w:val="24"/>
          <w:rtl w:val="0"/>
        </w:rPr>
        <w:t xml:space="preserve"> to convert text-string "NULLs" into true database NULLs to allow for correct mathematical calculations.</w:t>
      </w:r>
    </w:p>
    <w:p w:rsidR="00000000" w:rsidDel="00000000" w:rsidP="00000000" w:rsidRDefault="00000000" w:rsidRPr="00000000" w14:paraId="0000001E">
      <w:pPr>
        <w:numPr>
          <w:ilvl w:val="1"/>
          <w:numId w:val="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Date Standardization:</w:t>
      </w:r>
      <w:r w:rsidDel="00000000" w:rsidR="00000000" w:rsidRPr="00000000">
        <w:rPr>
          <w:sz w:val="24"/>
          <w:szCs w:val="24"/>
          <w:rtl w:val="0"/>
        </w:rPr>
        <w:t xml:space="preserve"> Forced all dates into </w:t>
      </w:r>
      <w:r w:rsidDel="00000000" w:rsidR="00000000" w:rsidRPr="00000000">
        <w:rPr>
          <w:sz w:val="24"/>
          <w:szCs w:val="24"/>
          <w:rtl w:val="0"/>
        </w:rPr>
        <w:t xml:space="preserve">YYYY-MM-DD</w:t>
      </w:r>
      <w:r w:rsidDel="00000000" w:rsidR="00000000" w:rsidRPr="00000000">
        <w:rPr>
          <w:sz w:val="24"/>
          <w:szCs w:val="24"/>
          <w:rtl w:val="0"/>
        </w:rPr>
        <w:t xml:space="preserve"> string format using </w:t>
      </w:r>
      <w:r w:rsidDel="00000000" w:rsidR="00000000" w:rsidRPr="00000000">
        <w:rPr>
          <w:sz w:val="24"/>
          <w:szCs w:val="24"/>
          <w:rtl w:val="0"/>
        </w:rPr>
        <w:t xml:space="preserve">TO_CHAR</w:t>
      </w:r>
      <w:r w:rsidDel="00000000" w:rsidR="00000000" w:rsidRPr="00000000">
        <w:rPr>
          <w:sz w:val="24"/>
          <w:szCs w:val="24"/>
          <w:rtl w:val="0"/>
        </w:rPr>
        <w:t xml:space="preserve"> to prevent Looker Studio from misinterpreting date formats (e.g., MDY vs DMY).</w:t>
      </w:r>
    </w:p>
    <w:p w:rsidR="00000000" w:rsidDel="00000000" w:rsidP="00000000" w:rsidRDefault="00000000" w:rsidRPr="00000000" w14:paraId="0000001F">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Integration (The Master Join):</w:t>
      </w:r>
    </w:p>
    <w:p w:rsidR="00000000" w:rsidDel="00000000" w:rsidP="00000000" w:rsidRDefault="00000000" w:rsidRPr="00000000" w14:paraId="00000020">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Used </w:t>
      </w:r>
      <w:r w:rsidDel="00000000" w:rsidR="00000000" w:rsidRPr="00000000">
        <w:rPr>
          <w:b w:val="1"/>
          <w:bCs w:val="1"/>
          <w:sz w:val="24"/>
          <w:szCs w:val="24"/>
          <w:rtl w:val="0"/>
        </w:rPr>
        <w:t xml:space="preserve">LEFT JOINS</w:t>
      </w:r>
      <w:r w:rsidDel="00000000" w:rsidR="00000000" w:rsidRPr="00000000">
        <w:rPr>
          <w:sz w:val="24"/>
          <w:szCs w:val="24"/>
          <w:rtl w:val="0"/>
        </w:rPr>
        <w:t xml:space="preserve"> starting from the </w:t>
      </w:r>
      <w:r w:rsidDel="00000000" w:rsidR="00000000" w:rsidRPr="00000000">
        <w:rPr>
          <w:sz w:val="24"/>
          <w:szCs w:val="24"/>
          <w:rtl w:val="0"/>
        </w:rPr>
        <w:t xml:space="preserve">Applicant</w:t>
      </w:r>
      <w:r w:rsidDel="00000000" w:rsidR="00000000" w:rsidRPr="00000000">
        <w:rPr>
          <w:sz w:val="24"/>
          <w:szCs w:val="24"/>
          <w:rtl w:val="0"/>
        </w:rPr>
        <w:t xml:space="preserve"> table (the spine) to ensure no applicants were lost, even if they lacked SEVIS or Connect data.</w:t>
      </w:r>
    </w:p>
    <w:p w:rsidR="00000000" w:rsidDel="00000000" w:rsidP="00000000" w:rsidRDefault="00000000" w:rsidRPr="00000000" w14:paraId="00000021">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Deduplication:</w:t>
      </w:r>
    </w:p>
    <w:p w:rsidR="00000000" w:rsidDel="00000000" w:rsidP="00000000" w:rsidRDefault="00000000" w:rsidRPr="00000000" w14:paraId="0000002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Addressed the "One-to-Many" relationship issue (where one student had multiple Outreach rows).</w:t>
      </w:r>
    </w:p>
    <w:p w:rsidR="00000000" w:rsidDel="00000000" w:rsidP="00000000" w:rsidRDefault="00000000" w:rsidRPr="00000000" w14:paraId="00000023">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Used </w:t>
      </w:r>
      <w:r w:rsidDel="00000000" w:rsidR="00000000" w:rsidRPr="00000000">
        <w:rPr>
          <w:sz w:val="24"/>
          <w:szCs w:val="24"/>
          <w:rtl w:val="0"/>
        </w:rPr>
        <w:t xml:space="preserve">DISTINCT ON (Reference_ID)</w:t>
      </w:r>
      <w:r w:rsidDel="00000000" w:rsidR="00000000" w:rsidRPr="00000000">
        <w:rPr>
          <w:sz w:val="24"/>
          <w:szCs w:val="24"/>
          <w:rtl w:val="0"/>
        </w:rPr>
        <w:t xml:space="preserve"> and </w:t>
      </w:r>
      <w:r w:rsidDel="00000000" w:rsidR="00000000" w:rsidRPr="00000000">
        <w:rPr>
          <w:sz w:val="24"/>
          <w:szCs w:val="24"/>
          <w:rtl w:val="0"/>
        </w:rPr>
        <w:t xml:space="preserve">STRING_AGG</w:t>
      </w:r>
      <w:r w:rsidDel="00000000" w:rsidR="00000000" w:rsidRPr="00000000">
        <w:rPr>
          <w:sz w:val="24"/>
          <w:szCs w:val="24"/>
          <w:rtl w:val="0"/>
        </w:rPr>
        <w:t xml:space="preserve"> to consolidate multiple remarks into a single history field while keeping only the latest status.</w:t>
      </w:r>
    </w:p>
    <w:p w:rsidR="00000000" w:rsidDel="00000000" w:rsidP="00000000" w:rsidRDefault="00000000" w:rsidRPr="00000000" w14:paraId="00000024">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Connection to Looker Studio: </w:t>
      </w:r>
      <w:r w:rsidDel="00000000" w:rsidR="00000000" w:rsidRPr="00000000">
        <w:rPr>
          <w:sz w:val="24"/>
          <w:szCs w:val="24"/>
          <w:rtl w:val="0"/>
        </w:rPr>
        <w:t xml:space="preserve">exported the final dataset from pgAdmin and then imported it as a csv file into Looker Studio </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Link to the SQL Queries used for cleaning the dataset: </w:t>
      </w:r>
      <w:hyperlink r:id="rId9">
        <w:r w:rsidDel="00000000" w:rsidR="00000000" w:rsidRPr="00000000">
          <w:rPr>
            <w:color w:val="1155cc"/>
            <w:sz w:val="24"/>
            <w:szCs w:val="24"/>
            <w:u w:val="single"/>
            <w:rtl w:val="0"/>
          </w:rPr>
          <w:t xml:space="preserve">https://drive.google.com/file/d/1SgMl2kfA6vmasOdV7JK9Mohwr10jniwb/view?usp=sharing</w:t>
        </w:r>
      </w:hyperlink>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700"/>
        <w:gridCol w:w="4350"/>
        <w:tblGridChange w:id="0">
          <w:tblGrid>
            <w:gridCol w:w="1725"/>
            <w:gridCol w:w="2700"/>
            <w:gridCol w:w="435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sz w:val="24"/>
                <w:szCs w:val="24"/>
              </w:rPr>
            </w:pPr>
            <w:r w:rsidDel="00000000" w:rsidR="00000000" w:rsidRPr="00000000">
              <w:rPr>
                <w:b w:val="1"/>
                <w:bCs w:val="1"/>
                <w:sz w:val="24"/>
                <w:szCs w:val="24"/>
                <w:rtl w:val="0"/>
              </w:rPr>
              <w:t xml:space="preserve">Challenge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sz w:val="24"/>
                <w:szCs w:val="24"/>
              </w:rPr>
            </w:pPr>
            <w:r w:rsidDel="00000000" w:rsidR="00000000" w:rsidRPr="00000000">
              <w:rPr>
                <w:b w:val="1"/>
                <w:bCs w:val="1"/>
                <w:sz w:val="24"/>
                <w:szCs w:val="24"/>
                <w:rtl w:val="0"/>
              </w:rPr>
              <w:t xml:space="preserve">Impact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sz w:val="24"/>
                <w:szCs w:val="24"/>
              </w:rPr>
            </w:pPr>
            <w:r w:rsidDel="00000000" w:rsidR="00000000" w:rsidRPr="00000000">
              <w:rPr>
                <w:b w:val="1"/>
                <w:bCs w:val="1"/>
                <w:sz w:val="24"/>
                <w:szCs w:val="24"/>
                <w:rtl w:val="0"/>
              </w:rPr>
              <w:t xml:space="preserve">Resolution</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sz w:val="24"/>
                <w:szCs w:val="24"/>
              </w:rPr>
            </w:pPr>
            <w:r w:rsidDel="00000000" w:rsidR="00000000" w:rsidRPr="00000000">
              <w:rPr>
                <w:b w:val="1"/>
                <w:bCs w:val="1"/>
                <w:sz w:val="24"/>
                <w:szCs w:val="24"/>
                <w:rtl w:val="0"/>
              </w:rPr>
              <w:t xml:space="preserve">Scientific Notation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sz w:val="24"/>
                <w:szCs w:val="24"/>
              </w:rPr>
            </w:pPr>
            <w:r w:rsidDel="00000000" w:rsidR="00000000" w:rsidRPr="00000000">
              <w:rPr>
                <w:sz w:val="24"/>
                <w:szCs w:val="24"/>
                <w:rtl w:val="0"/>
              </w:rPr>
              <w:t xml:space="preserve">Dates appeared as </w:t>
            </w:r>
            <w:r w:rsidDel="00000000" w:rsidR="00000000" w:rsidRPr="00000000">
              <w:rPr>
                <w:sz w:val="24"/>
                <w:szCs w:val="24"/>
                <w:rtl w:val="0"/>
              </w:rPr>
              <w:t xml:space="preserve">1.75E+12</w:t>
            </w:r>
            <w:r w:rsidDel="00000000" w:rsidR="00000000" w:rsidRPr="00000000">
              <w:rPr>
                <w:sz w:val="24"/>
                <w:szCs w:val="24"/>
                <w:rtl w:val="0"/>
              </w:rPr>
              <w:t xml:space="preserve"> in raw CSVs.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sz w:val="24"/>
                <w:szCs w:val="24"/>
              </w:rPr>
            </w:pPr>
            <w:r w:rsidDel="00000000" w:rsidR="00000000" w:rsidRPr="00000000">
              <w:rPr>
                <w:sz w:val="24"/>
                <w:szCs w:val="24"/>
                <w:rtl w:val="0"/>
              </w:rPr>
              <w:t xml:space="preserve">Applied SQL math transformation: </w:t>
            </w:r>
            <w:r w:rsidDel="00000000" w:rsidR="00000000" w:rsidRPr="00000000">
              <w:rPr>
                <w:sz w:val="24"/>
                <w:szCs w:val="24"/>
                <w:rtl w:val="0"/>
              </w:rPr>
              <w:t xml:space="preserve">TO_TIMESTAMP(value / 1000)</w:t>
            </w:r>
            <w:r w:rsidDel="00000000" w:rsidR="00000000" w:rsidRPr="00000000">
              <w:rPr>
                <w:sz w:val="24"/>
                <w:szCs w:val="24"/>
                <w:rtl w:val="0"/>
              </w:rPr>
              <w:t xml:space="preserv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sz w:val="24"/>
                <w:szCs w:val="24"/>
              </w:rPr>
            </w:pPr>
            <w:r w:rsidDel="00000000" w:rsidR="00000000" w:rsidRPr="00000000">
              <w:rPr>
                <w:b w:val="1"/>
                <w:bCs w:val="1"/>
                <w:sz w:val="24"/>
                <w:szCs w:val="24"/>
                <w:rtl w:val="0"/>
              </w:rPr>
              <w:t xml:space="preserve">Missing "Country" Data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Country</w:t>
            </w:r>
            <w:r w:rsidDel="00000000" w:rsidR="00000000" w:rsidRPr="00000000">
              <w:rPr>
                <w:sz w:val="24"/>
                <w:szCs w:val="24"/>
                <w:rtl w:val="0"/>
              </w:rPr>
              <w:t xml:space="preserve"> column in the Applicant table was predominantly NULL.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sz w:val="24"/>
                <w:szCs w:val="24"/>
              </w:rPr>
            </w:pPr>
            <w:r w:rsidDel="00000000" w:rsidR="00000000" w:rsidRPr="00000000">
              <w:rPr>
                <w:b w:val="1"/>
                <w:bCs w:val="1"/>
                <w:sz w:val="24"/>
                <w:szCs w:val="24"/>
                <w:rtl w:val="0"/>
              </w:rPr>
              <w:t xml:space="preserve">Pivot:</w:t>
            </w:r>
            <w:r w:rsidDel="00000000" w:rsidR="00000000" w:rsidRPr="00000000">
              <w:rPr>
                <w:sz w:val="24"/>
                <w:szCs w:val="24"/>
                <w:rtl w:val="0"/>
              </w:rPr>
              <w:t xml:space="preserve"> Switched to using </w:t>
            </w:r>
            <w:r w:rsidDel="00000000" w:rsidR="00000000" w:rsidRPr="00000000">
              <w:rPr>
                <w:sz w:val="24"/>
                <w:szCs w:val="24"/>
                <w:rtl w:val="0"/>
              </w:rPr>
              <w:t xml:space="preserve">Citizenship</w:t>
            </w:r>
            <w:r w:rsidDel="00000000" w:rsidR="00000000" w:rsidRPr="00000000">
              <w:rPr>
                <w:sz w:val="24"/>
                <w:szCs w:val="24"/>
                <w:rtl w:val="0"/>
              </w:rPr>
              <w:t xml:space="preserve"> (which was 99.9% complete) for geographic visualization.</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sz w:val="24"/>
                <w:szCs w:val="24"/>
              </w:rPr>
            </w:pPr>
            <w:r w:rsidDel="00000000" w:rsidR="00000000" w:rsidRPr="00000000">
              <w:rPr>
                <w:b w:val="1"/>
                <w:bCs w:val="1"/>
                <w:sz w:val="24"/>
                <w:szCs w:val="24"/>
                <w:rtl w:val="0"/>
              </w:rPr>
              <w:t xml:space="preserve">Negative Funding Gaps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sz w:val="24"/>
                <w:szCs w:val="24"/>
              </w:rPr>
            </w:pPr>
            <w:r w:rsidDel="00000000" w:rsidR="00000000" w:rsidRPr="00000000">
              <w:rPr>
                <w:sz w:val="24"/>
                <w:szCs w:val="24"/>
                <w:shd w:fill="e9eef6" w:val="clear"/>
                <w:rtl w:val="0"/>
              </w:rPr>
              <w:t xml:space="preserve">Cost - Funds</w:t>
            </w:r>
            <w:r w:rsidDel="00000000" w:rsidR="00000000" w:rsidRPr="00000000">
              <w:rPr>
                <w:sz w:val="24"/>
                <w:szCs w:val="24"/>
                <w:rtl w:val="0"/>
              </w:rPr>
              <w:t xml:space="preserve"> resulted in negative numbers, confusing stakeholders.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sz w:val="24"/>
                <w:szCs w:val="24"/>
              </w:rPr>
            </w:pPr>
            <w:r w:rsidDel="00000000" w:rsidR="00000000" w:rsidRPr="00000000">
              <w:rPr>
                <w:sz w:val="24"/>
                <w:szCs w:val="24"/>
                <w:rtl w:val="0"/>
              </w:rPr>
              <w:t xml:space="preserve">Created a calculated field </w:t>
            </w:r>
            <w:r w:rsidDel="00000000" w:rsidR="00000000" w:rsidRPr="00000000">
              <w:rPr>
                <w:sz w:val="24"/>
                <w:szCs w:val="24"/>
                <w:rtl w:val="0"/>
              </w:rPr>
              <w:t xml:space="preserve">Financial_Surplus (Funding_Gap * -1)</w:t>
            </w:r>
            <w:r w:rsidDel="00000000" w:rsidR="00000000" w:rsidRPr="00000000">
              <w:rPr>
                <w:sz w:val="24"/>
                <w:szCs w:val="24"/>
                <w:rtl w:val="0"/>
              </w:rPr>
              <w:t xml:space="preserve"> to visualize "Extra Funds" instead of "Deficit."</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sz w:val="24"/>
                <w:szCs w:val="24"/>
              </w:rPr>
            </w:pPr>
            <w:r w:rsidDel="00000000" w:rsidR="00000000" w:rsidRPr="00000000">
              <w:rPr>
                <w:b w:val="1"/>
                <w:bCs w:val="1"/>
                <w:sz w:val="24"/>
                <w:szCs w:val="24"/>
                <w:rtl w:val="0"/>
              </w:rPr>
              <w:t xml:space="preserve">Funnel Accuracy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sz w:val="24"/>
                <w:szCs w:val="24"/>
              </w:rPr>
            </w:pPr>
            <w:r w:rsidDel="00000000" w:rsidR="00000000" w:rsidRPr="00000000">
              <w:rPr>
                <w:sz w:val="24"/>
                <w:szCs w:val="24"/>
                <w:rtl w:val="0"/>
              </w:rPr>
              <w:t xml:space="preserve">"Deposit Paid" counts appeared higher than "Admitted" due to bucket logic.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sz w:val="24"/>
                <w:szCs w:val="24"/>
              </w:rPr>
            </w:pPr>
            <w:r w:rsidDel="00000000" w:rsidR="00000000" w:rsidRPr="00000000">
              <w:rPr>
                <w:sz w:val="24"/>
                <w:szCs w:val="24"/>
                <w:rtl w:val="0"/>
              </w:rPr>
              <w:t xml:space="preserve">Created three independent binary flags (</w:t>
            </w:r>
            <w:r w:rsidDel="00000000" w:rsidR="00000000" w:rsidRPr="00000000">
              <w:rPr>
                <w:sz w:val="24"/>
                <w:szCs w:val="24"/>
                <w:rtl w:val="0"/>
              </w:rPr>
              <w:t xml:space="preserve">Count_Applied, Count_Admitted, Count_Deposit</w:t>
            </w:r>
            <w:r w:rsidDel="00000000" w:rsidR="00000000" w:rsidRPr="00000000">
              <w:rPr>
                <w:sz w:val="24"/>
                <w:szCs w:val="24"/>
                <w:rtl w:val="0"/>
              </w:rPr>
              <w:t xml:space="preserve">) and summed them side-by-side.</w:t>
            </w:r>
          </w:p>
        </w:tc>
      </w:tr>
    </w:tbl>
    <w:p w:rsidR="00000000" w:rsidDel="00000000" w:rsidP="00000000" w:rsidRDefault="00000000" w:rsidRPr="00000000" w14:paraId="0000003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28"/>
          <w:szCs w:val="28"/>
        </w:rPr>
      </w:pPr>
      <w:bookmarkStart w:colFirst="0" w:colLast="0" w:name="_ax8vf8mvnwla" w:id="2"/>
      <w:bookmarkEnd w:id="2"/>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28"/>
          <w:szCs w:val="28"/>
        </w:rPr>
      </w:pPr>
      <w:bookmarkStart w:colFirst="0" w:colLast="0" w:name="_ms9q9xbzol9r" w:id="3"/>
      <w:bookmarkEnd w:id="3"/>
      <w:r w:rsidDel="00000000" w:rsidR="00000000" w:rsidRPr="00000000">
        <w:rPr>
          <w:b w:val="1"/>
          <w:bCs w:val="1"/>
          <w:sz w:val="28"/>
          <w:szCs w:val="28"/>
          <w:rtl w:val="0"/>
        </w:rPr>
        <w:t xml:space="preserve">3. Dashboard Design Summary</w:t>
      </w:r>
    </w:p>
    <w:p w:rsidR="00000000" w:rsidDel="00000000" w:rsidP="00000000" w:rsidRDefault="00000000" w:rsidRPr="00000000" w14:paraId="00000038">
      <w:pPr>
        <w:pStyle w:val="Heading3"/>
        <w:keepNext w:val="0"/>
        <w:keepLines w:val="0"/>
        <w:spacing w:before="280" w:lineRule="auto"/>
        <w:rPr>
          <w:b w:val="1"/>
          <w:bCs w:val="1"/>
          <w:color w:val="000000"/>
          <w:sz w:val="24"/>
          <w:szCs w:val="24"/>
        </w:rPr>
      </w:pPr>
      <w:bookmarkStart w:colFirst="0" w:colLast="0" w:name="_mhfycgaeo8ea" w:id="4"/>
      <w:bookmarkEnd w:id="4"/>
      <w:r w:rsidDel="00000000" w:rsidR="00000000" w:rsidRPr="00000000">
        <w:rPr>
          <w:b w:val="1"/>
          <w:bCs w:val="1"/>
          <w:color w:val="000000"/>
          <w:sz w:val="24"/>
          <w:szCs w:val="24"/>
          <w:rtl w:val="0"/>
        </w:rPr>
        <w:t xml:space="preserve">Chart Strategy &amp; Rationale</w:t>
      </w:r>
    </w:p>
    <w:p w:rsidR="00000000" w:rsidDel="00000000" w:rsidP="00000000" w:rsidRDefault="00000000" w:rsidRPr="00000000" w14:paraId="00000039">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Scorecards (High-Level KPIs):</w:t>
      </w:r>
    </w:p>
    <w:p w:rsidR="00000000" w:rsidDel="00000000" w:rsidP="00000000" w:rsidRDefault="00000000" w:rsidRPr="00000000" w14:paraId="0000003A">
      <w:pPr>
        <w:numPr>
          <w:ilvl w:val="1"/>
          <w:numId w:val="1"/>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Metrics:</w:t>
      </w:r>
      <w:r w:rsidDel="00000000" w:rsidR="00000000" w:rsidRPr="00000000">
        <w:rPr>
          <w:sz w:val="24"/>
          <w:szCs w:val="24"/>
          <w:rtl w:val="0"/>
        </w:rPr>
        <w:t xml:space="preserve"> Total Applicants, Admitted, Deposits, Tuition Fees, Financial Surplus.</w:t>
      </w:r>
    </w:p>
    <w:p w:rsidR="00000000" w:rsidDel="00000000" w:rsidP="00000000" w:rsidRDefault="00000000" w:rsidRPr="00000000" w14:paraId="0000003B">
      <w:pPr>
        <w:numPr>
          <w:ilvl w:val="1"/>
          <w:numId w:val="1"/>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Why:</w:t>
      </w:r>
      <w:r w:rsidDel="00000000" w:rsidR="00000000" w:rsidRPr="00000000">
        <w:rPr>
          <w:sz w:val="24"/>
          <w:szCs w:val="24"/>
          <w:rtl w:val="0"/>
        </w:rPr>
        <w:t xml:space="preserve"> To provide executives with an immediate "Pulse Check" on the campaign's volume and financial health ($13.4M Potential Revenue).</w:t>
      </w:r>
    </w:p>
    <w:p w:rsidR="00000000" w:rsidDel="00000000" w:rsidP="00000000" w:rsidRDefault="00000000" w:rsidRPr="00000000" w14:paraId="0000003C">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Funnel Chart (Conversion Analysis):</w:t>
      </w:r>
    </w:p>
    <w:p w:rsidR="00000000" w:rsidDel="00000000" w:rsidP="00000000" w:rsidRDefault="00000000" w:rsidRPr="00000000" w14:paraId="0000003D">
      <w:pPr>
        <w:numPr>
          <w:ilvl w:val="1"/>
          <w:numId w:val="1"/>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Visual:</w:t>
      </w:r>
      <w:r w:rsidDel="00000000" w:rsidR="00000000" w:rsidRPr="00000000">
        <w:rPr>
          <w:rFonts w:ascii="Arial Unicode MS" w:cs="Arial Unicode MS" w:eastAsia="Arial Unicode MS" w:hAnsi="Arial Unicode MS"/>
          <w:sz w:val="24"/>
          <w:szCs w:val="24"/>
          <w:rtl w:val="0"/>
        </w:rPr>
        <w:t xml:space="preserve"> Column Chart (Applied → Admitted → Deposit).</w:t>
      </w:r>
    </w:p>
    <w:p w:rsidR="00000000" w:rsidDel="00000000" w:rsidP="00000000" w:rsidRDefault="00000000" w:rsidRPr="00000000" w14:paraId="0000003E">
      <w:pPr>
        <w:numPr>
          <w:ilvl w:val="1"/>
          <w:numId w:val="1"/>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Why:</w:t>
      </w:r>
      <w:r w:rsidDel="00000000" w:rsidR="00000000" w:rsidRPr="00000000">
        <w:rPr>
          <w:sz w:val="24"/>
          <w:szCs w:val="24"/>
          <w:rtl w:val="0"/>
        </w:rPr>
        <w:t xml:space="preserve"> To identify the sharpest drop-off point in the recruitment pipeline. Currently highlights the gap between Admission and Deposit.</w:t>
      </w:r>
    </w:p>
    <w:p w:rsidR="00000000" w:rsidDel="00000000" w:rsidP="00000000" w:rsidRDefault="00000000" w:rsidRPr="00000000" w14:paraId="0000003F">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Donut Chart (Program Distribution):</w:t>
      </w:r>
    </w:p>
    <w:p w:rsidR="00000000" w:rsidDel="00000000" w:rsidP="00000000" w:rsidRDefault="00000000" w:rsidRPr="00000000" w14:paraId="00000040">
      <w:pPr>
        <w:numPr>
          <w:ilvl w:val="1"/>
          <w:numId w:val="1"/>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Visual:</w:t>
      </w:r>
      <w:r w:rsidDel="00000000" w:rsidR="00000000" w:rsidRPr="00000000">
        <w:rPr>
          <w:sz w:val="24"/>
          <w:szCs w:val="24"/>
          <w:rtl w:val="0"/>
        </w:rPr>
        <w:t xml:space="preserve"> A percentage-based Donut Chart showing the top majors.</w:t>
      </w:r>
      <w:r w:rsidDel="00000000" w:rsidR="00000000" w:rsidRPr="00000000">
        <w:rPr>
          <w:rtl w:val="0"/>
        </w:rPr>
      </w:r>
    </w:p>
    <w:p w:rsidR="00000000" w:rsidDel="00000000" w:rsidP="00000000" w:rsidRDefault="00000000" w:rsidRPr="00000000" w14:paraId="00000041">
      <w:pPr>
        <w:numPr>
          <w:ilvl w:val="1"/>
          <w:numId w:val="1"/>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Why:</w:t>
      </w:r>
      <w:r w:rsidDel="00000000" w:rsidR="00000000" w:rsidRPr="00000000">
        <w:rPr>
          <w:sz w:val="24"/>
          <w:szCs w:val="24"/>
          <w:rtl w:val="0"/>
        </w:rPr>
        <w:t xml:space="preserve"> Selected to clearly illustrate the </w:t>
      </w:r>
      <w:r w:rsidDel="00000000" w:rsidR="00000000" w:rsidRPr="00000000">
        <w:rPr>
          <w:b w:val="1"/>
          <w:bCs w:val="1"/>
          <w:sz w:val="24"/>
          <w:szCs w:val="24"/>
          <w:rtl w:val="0"/>
        </w:rPr>
        <w:t xml:space="preserve">market share</w:t>
      </w:r>
      <w:r w:rsidDel="00000000" w:rsidR="00000000" w:rsidRPr="00000000">
        <w:rPr>
          <w:sz w:val="24"/>
          <w:szCs w:val="24"/>
          <w:rtl w:val="0"/>
        </w:rPr>
        <w:t xml:space="preserve"> of specific programs. It instantly highlights that just two programs (Information Systems &amp; Health Data Science) account for over </w:t>
      </w:r>
      <w:r w:rsidDel="00000000" w:rsidR="00000000" w:rsidRPr="00000000">
        <w:rPr>
          <w:b w:val="1"/>
          <w:bCs w:val="1"/>
          <w:sz w:val="24"/>
          <w:szCs w:val="24"/>
          <w:rtl w:val="0"/>
        </w:rPr>
        <w:t xml:space="preserve">36%</w:t>
      </w:r>
      <w:r w:rsidDel="00000000" w:rsidR="00000000" w:rsidRPr="00000000">
        <w:rPr>
          <w:sz w:val="24"/>
          <w:szCs w:val="24"/>
          <w:rtl w:val="0"/>
        </w:rPr>
        <w:t xml:space="preserve"> of the entire applicant pool, indicating a heavy reliance on STEM streams.</w:t>
      </w:r>
    </w:p>
    <w:p w:rsidR="00000000" w:rsidDel="00000000" w:rsidP="00000000" w:rsidRDefault="00000000" w:rsidRPr="00000000" w14:paraId="00000042">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Citizenship Leaderboard (Table with Heatmap):</w:t>
      </w:r>
    </w:p>
    <w:p w:rsidR="00000000" w:rsidDel="00000000" w:rsidP="00000000" w:rsidRDefault="00000000" w:rsidRPr="00000000" w14:paraId="00000043">
      <w:pPr>
        <w:numPr>
          <w:ilvl w:val="1"/>
          <w:numId w:val="1"/>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Visual:</w:t>
      </w:r>
      <w:r w:rsidDel="00000000" w:rsidR="00000000" w:rsidRPr="00000000">
        <w:rPr>
          <w:sz w:val="24"/>
          <w:szCs w:val="24"/>
          <w:rtl w:val="0"/>
        </w:rPr>
        <w:t xml:space="preserve"> A ranked table with bar indicators for </w:t>
      </w:r>
      <w:r w:rsidDel="00000000" w:rsidR="00000000" w:rsidRPr="00000000">
        <w:rPr>
          <w:sz w:val="24"/>
          <w:szCs w:val="24"/>
          <w:rtl w:val="0"/>
        </w:rPr>
        <w:t xml:space="preserve">Record Count</w:t>
      </w:r>
      <w:r w:rsidDel="00000000" w:rsidR="00000000" w:rsidRPr="00000000">
        <w:rPr>
          <w:sz w:val="24"/>
          <w:szCs w:val="24"/>
          <w:rtl w:val="0"/>
        </w:rPr>
        <w:t xml:space="preserve"> and </w:t>
      </w:r>
      <w:r w:rsidDel="00000000" w:rsidR="00000000" w:rsidRPr="00000000">
        <w:rPr>
          <w:sz w:val="24"/>
          <w:szCs w:val="24"/>
          <w:rtl w:val="0"/>
        </w:rPr>
        <w:t xml:space="preserve">Financial Surplus.</w:t>
      </w:r>
      <w:r w:rsidDel="00000000" w:rsidR="00000000" w:rsidRPr="00000000">
        <w:rPr>
          <w:rtl w:val="0"/>
        </w:rPr>
      </w:r>
    </w:p>
    <w:p w:rsidR="00000000" w:rsidDel="00000000" w:rsidP="00000000" w:rsidRDefault="00000000" w:rsidRPr="00000000" w14:paraId="00000044">
      <w:pPr>
        <w:numPr>
          <w:ilvl w:val="1"/>
          <w:numId w:val="1"/>
        </w:numPr>
        <w:spacing w:after="240" w:before="0" w:beforeAutospacing="0" w:lineRule="auto"/>
        <w:ind w:left="1440" w:hanging="360"/>
        <w:rPr>
          <w:sz w:val="24"/>
          <w:szCs w:val="24"/>
        </w:rPr>
      </w:pPr>
      <w:r w:rsidDel="00000000" w:rsidR="00000000" w:rsidRPr="00000000">
        <w:rPr>
          <w:i w:val="1"/>
          <w:iCs w:val="1"/>
          <w:sz w:val="24"/>
          <w:szCs w:val="24"/>
          <w:rtl w:val="0"/>
        </w:rPr>
        <w:t xml:space="preserve">Why:</w:t>
      </w:r>
      <w:r w:rsidDel="00000000" w:rsidR="00000000" w:rsidRPr="00000000">
        <w:rPr>
          <w:sz w:val="24"/>
          <w:szCs w:val="24"/>
          <w:rtl w:val="0"/>
        </w:rPr>
        <w:t xml:space="preserve"> Switched from </w:t>
      </w:r>
      <w:r w:rsidDel="00000000" w:rsidR="00000000" w:rsidRPr="00000000">
        <w:rPr>
          <w:sz w:val="24"/>
          <w:szCs w:val="24"/>
          <w:rtl w:val="0"/>
        </w:rPr>
        <w:t xml:space="preserve">Country</w:t>
      </w:r>
      <w:r w:rsidDel="00000000" w:rsidR="00000000" w:rsidRPr="00000000">
        <w:rPr>
          <w:sz w:val="24"/>
          <w:szCs w:val="24"/>
          <w:rtl w:val="0"/>
        </w:rPr>
        <w:t xml:space="preserve"> (due to NULLs) to </w:t>
      </w:r>
      <w:r w:rsidDel="00000000" w:rsidR="00000000" w:rsidRPr="00000000">
        <w:rPr>
          <w:sz w:val="24"/>
          <w:szCs w:val="24"/>
          <w:rtl w:val="0"/>
        </w:rPr>
        <w:t xml:space="preserve">Citizenship</w:t>
      </w:r>
      <w:r w:rsidDel="00000000" w:rsidR="00000000" w:rsidRPr="00000000">
        <w:rPr>
          <w:sz w:val="24"/>
          <w:szCs w:val="24"/>
          <w:rtl w:val="0"/>
        </w:rPr>
        <w:t xml:space="preserve">. A table was chosen over a map to provide </w:t>
      </w:r>
      <w:r w:rsidDel="00000000" w:rsidR="00000000" w:rsidRPr="00000000">
        <w:rPr>
          <w:b w:val="1"/>
          <w:bCs w:val="1"/>
          <w:sz w:val="24"/>
          <w:szCs w:val="24"/>
          <w:rtl w:val="0"/>
        </w:rPr>
        <w:t xml:space="preserve">precise numerical rankings</w:t>
      </w:r>
      <w:r w:rsidDel="00000000" w:rsidR="00000000" w:rsidRPr="00000000">
        <w:rPr>
          <w:sz w:val="24"/>
          <w:szCs w:val="24"/>
          <w:rtl w:val="0"/>
        </w:rPr>
        <w:t xml:space="preserve">. It allows stakeholders to compare the "Volume" (Count) vs. "Value" (Surplus) of top markets side-by-side, revealing that while India provides the most students, it also brings the highest financial surplus ($1.2M).</w:t>
      </w:r>
    </w:p>
    <w:p w:rsidR="00000000" w:rsidDel="00000000" w:rsidP="00000000" w:rsidRDefault="00000000" w:rsidRPr="00000000" w14:paraId="00000045">
      <w:pPr>
        <w:pStyle w:val="Heading3"/>
        <w:keepNext w:val="0"/>
        <w:keepLines w:val="0"/>
        <w:spacing w:before="280" w:lineRule="auto"/>
        <w:rPr/>
      </w:pPr>
      <w:bookmarkStart w:colFirst="0" w:colLast="0" w:name="_dlffuuymv9m" w:id="5"/>
      <w:bookmarkEnd w:id="5"/>
      <w:r w:rsidDel="00000000" w:rsidR="00000000" w:rsidRPr="00000000">
        <w:rPr>
          <w:b w:val="1"/>
          <w:bCs w:val="1"/>
          <w:color w:val="000000"/>
          <w:sz w:val="24"/>
          <w:szCs w:val="24"/>
          <w:rtl w:val="0"/>
        </w:rPr>
        <w:t xml:space="preserve">Interactivity &amp; Theme</w:t>
      </w:r>
      <w:r w:rsidDel="00000000" w:rsidR="00000000" w:rsidRPr="00000000">
        <w:rPr>
          <w:rtl w:val="0"/>
        </w:rPr>
      </w:r>
    </w:p>
    <w:p w:rsidR="00000000" w:rsidDel="00000000" w:rsidP="00000000" w:rsidRDefault="00000000" w:rsidRPr="00000000" w14:paraId="00000046">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Theme:</w:t>
      </w:r>
      <w:r w:rsidDel="00000000" w:rsidR="00000000" w:rsidRPr="00000000">
        <w:rPr>
          <w:sz w:val="24"/>
          <w:szCs w:val="24"/>
          <w:rtl w:val="0"/>
        </w:rPr>
        <w:t xml:space="preserve"> Default (Classic) was chosen to make the data pop and give a fresh aesthetic suitable for a university data presentation.</w:t>
      </w:r>
    </w:p>
    <w:p w:rsidR="00000000" w:rsidDel="00000000" w:rsidP="00000000" w:rsidRDefault="00000000" w:rsidRPr="00000000" w14:paraId="00000047">
      <w:pPr>
        <w:numPr>
          <w:ilvl w:val="0"/>
          <w:numId w:val="4"/>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Interactivity</w:t>
      </w:r>
      <w:r w:rsidDel="00000000" w:rsidR="00000000" w:rsidRPr="00000000">
        <w:rPr>
          <w:sz w:val="24"/>
          <w:szCs w:val="24"/>
          <w:rtl w:val="0"/>
        </w:rPr>
        <w:t xml:space="preserve">: The whole Dashboard is connected with each other so clicking an element in one chart will also show the related numbers in the other charts. For example, clicking on a semester of a program will give the stakeholders an idea of the revenue generated from it, number of applicants and where did they apply from.</w:t>
      </w:r>
    </w:p>
    <w:p w:rsidR="00000000" w:rsidDel="00000000" w:rsidP="00000000" w:rsidRDefault="00000000" w:rsidRPr="00000000" w14:paraId="00000048">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Filters:</w:t>
      </w:r>
    </w:p>
    <w:p w:rsidR="00000000" w:rsidDel="00000000" w:rsidP="00000000" w:rsidRDefault="00000000" w:rsidRPr="00000000" w14:paraId="00000049">
      <w:pPr>
        <w:numPr>
          <w:ilvl w:val="1"/>
          <w:numId w:val="4"/>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Program Filter in the Pie chart:</w:t>
      </w:r>
      <w:r w:rsidDel="00000000" w:rsidR="00000000" w:rsidRPr="00000000">
        <w:rPr>
          <w:sz w:val="24"/>
          <w:szCs w:val="24"/>
          <w:rtl w:val="0"/>
        </w:rPr>
        <w:t xml:space="preserve"> Allows stakeholders to know about specific majors (e.g., "Show me only Computer Science applicants").</w:t>
      </w:r>
    </w:p>
    <w:p w:rsidR="00000000" w:rsidDel="00000000" w:rsidP="00000000" w:rsidRDefault="00000000" w:rsidRPr="00000000" w14:paraId="0000004A">
      <w:pPr>
        <w:numPr>
          <w:ilvl w:val="1"/>
          <w:numId w:val="4"/>
        </w:numPr>
        <w:spacing w:after="240" w:before="0" w:beforeAutospacing="0" w:lineRule="auto"/>
        <w:ind w:left="1440" w:hanging="360"/>
        <w:rPr>
          <w:sz w:val="24"/>
          <w:szCs w:val="24"/>
        </w:rPr>
      </w:pPr>
      <w:r w:rsidDel="00000000" w:rsidR="00000000" w:rsidRPr="00000000">
        <w:rPr>
          <w:i w:val="1"/>
          <w:iCs w:val="1"/>
          <w:sz w:val="24"/>
          <w:szCs w:val="24"/>
          <w:rtl w:val="0"/>
        </w:rPr>
        <w:t xml:space="preserve">Intake Filter:</w:t>
      </w:r>
      <w:r w:rsidDel="00000000" w:rsidR="00000000" w:rsidRPr="00000000">
        <w:rPr>
          <w:sz w:val="24"/>
          <w:szCs w:val="24"/>
          <w:rtl w:val="0"/>
        </w:rPr>
        <w:t xml:space="preserve"> Enables comparison between Fall 2024 and Spring 2025 cohorts.</w:t>
      </w:r>
    </w:p>
    <w:p w:rsidR="00000000" w:rsidDel="00000000" w:rsidP="00000000" w:rsidRDefault="00000000" w:rsidRPr="00000000" w14:paraId="0000004B">
      <w:pPr>
        <w:pStyle w:val="Heading2"/>
        <w:keepNext w:val="0"/>
        <w:keepLines w:val="0"/>
        <w:spacing w:after="80" w:lineRule="auto"/>
        <w:rPr>
          <w:b w:val="1"/>
          <w:bCs w:val="1"/>
          <w:sz w:val="28"/>
          <w:szCs w:val="28"/>
        </w:rPr>
      </w:pPr>
      <w:bookmarkStart w:colFirst="0" w:colLast="0" w:name="_jg8nchzbb3u8" w:id="6"/>
      <w:bookmarkEnd w:id="6"/>
      <w:r w:rsidDel="00000000" w:rsidR="00000000" w:rsidRPr="00000000">
        <w:rPr>
          <w:b w:val="1"/>
          <w:bCs w:val="1"/>
          <w:sz w:val="28"/>
          <w:szCs w:val="28"/>
          <w:rtl w:val="0"/>
        </w:rPr>
        <w:t xml:space="preserve">4. Visual Insights Report</w:t>
      </w:r>
    </w:p>
    <w:p w:rsidR="00000000" w:rsidDel="00000000" w:rsidP="00000000" w:rsidRDefault="00000000" w:rsidRPr="00000000" w14:paraId="0000004C">
      <w:pPr>
        <w:pStyle w:val="Heading3"/>
        <w:keepNext w:val="0"/>
        <w:keepLines w:val="0"/>
        <w:spacing w:before="280" w:lineRule="auto"/>
        <w:rPr>
          <w:b w:val="1"/>
          <w:bCs w:val="1"/>
          <w:color w:val="000000"/>
          <w:sz w:val="24"/>
          <w:szCs w:val="24"/>
        </w:rPr>
      </w:pPr>
      <w:bookmarkStart w:colFirst="0" w:colLast="0" w:name="_i7hqdbtxu7n8" w:id="7"/>
      <w:bookmarkEnd w:id="7"/>
      <w:r w:rsidDel="00000000" w:rsidR="00000000" w:rsidRPr="00000000">
        <w:rPr>
          <w:b w:val="1"/>
          <w:bCs w:val="1"/>
          <w:color w:val="000000"/>
          <w:sz w:val="24"/>
          <w:szCs w:val="24"/>
          <w:rtl w:val="0"/>
        </w:rPr>
        <w:t xml:space="preserve">Key Patterns &amp; Trends</w:t>
      </w:r>
    </w:p>
    <w:p w:rsidR="00000000" w:rsidDel="00000000" w:rsidP="00000000" w:rsidRDefault="00000000" w:rsidRPr="00000000" w14:paraId="0000004D">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Recruitment Funnel Efficiency:</w:t>
      </w:r>
    </w:p>
    <w:p w:rsidR="00000000" w:rsidDel="00000000" w:rsidP="00000000" w:rsidRDefault="00000000" w:rsidRPr="00000000" w14:paraId="0000004E">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37.8% Admit Rate:</w:t>
      </w:r>
      <w:r w:rsidDel="00000000" w:rsidR="00000000" w:rsidRPr="00000000">
        <w:rPr>
          <w:sz w:val="24"/>
          <w:szCs w:val="24"/>
          <w:rtl w:val="0"/>
        </w:rPr>
        <w:t xml:space="preserve"> Out of 6,893 applicants, 2,605 were admitted.</w:t>
      </w:r>
    </w:p>
    <w:p w:rsidR="00000000" w:rsidDel="00000000" w:rsidP="00000000" w:rsidRDefault="00000000" w:rsidRPr="00000000" w14:paraId="0000004F">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58% Yield Rate:</w:t>
      </w:r>
      <w:r w:rsidDel="00000000" w:rsidR="00000000" w:rsidRPr="00000000">
        <w:rPr>
          <w:sz w:val="24"/>
          <w:szCs w:val="24"/>
          <w:rtl w:val="0"/>
        </w:rPr>
        <w:t xml:space="preserve"> Out of 2,605 admitted, 1,512 paid deposits. This is a strong yield, suggesting that once admitted, students are highly motivated to join.</w:t>
      </w:r>
    </w:p>
    <w:p w:rsidR="00000000" w:rsidDel="00000000" w:rsidP="00000000" w:rsidRDefault="00000000" w:rsidRPr="00000000" w14:paraId="00000050">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Geographic Concentration:</w:t>
      </w:r>
    </w:p>
    <w:p w:rsidR="00000000" w:rsidDel="00000000" w:rsidP="00000000" w:rsidRDefault="00000000" w:rsidRPr="00000000" w14:paraId="00000051">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The Citizenship Table confirms that recruitment is heavily reliant on </w:t>
      </w:r>
      <w:r w:rsidDel="00000000" w:rsidR="00000000" w:rsidRPr="00000000">
        <w:rPr>
          <w:b w:val="1"/>
          <w:bCs w:val="1"/>
          <w:sz w:val="24"/>
          <w:szCs w:val="24"/>
          <w:rtl w:val="0"/>
        </w:rPr>
        <w:t xml:space="preserve">South Asia (India)</w:t>
      </w:r>
      <w:r w:rsidDel="00000000" w:rsidR="00000000" w:rsidRPr="00000000">
        <w:rPr>
          <w:sz w:val="24"/>
          <w:szCs w:val="24"/>
          <w:rtl w:val="0"/>
        </w:rPr>
        <w:t xml:space="preserve"> and </w:t>
      </w:r>
      <w:r w:rsidDel="00000000" w:rsidR="00000000" w:rsidRPr="00000000">
        <w:rPr>
          <w:b w:val="1"/>
          <w:bCs w:val="1"/>
          <w:sz w:val="24"/>
          <w:szCs w:val="24"/>
          <w:rtl w:val="0"/>
        </w:rPr>
        <w:t xml:space="preserve">West Africa (Nigeria/Ghana)</w:t>
      </w:r>
      <w:r w:rsidDel="00000000" w:rsidR="00000000" w:rsidRPr="00000000">
        <w:rPr>
          <w:sz w:val="24"/>
          <w:szCs w:val="24"/>
          <w:rtl w:val="0"/>
        </w:rPr>
        <w:t xml:space="preserve">. These regions represent the largest volume of applicants.</w:t>
      </w:r>
    </w:p>
    <w:p w:rsidR="00000000" w:rsidDel="00000000" w:rsidP="00000000" w:rsidRDefault="00000000" w:rsidRPr="00000000" w14:paraId="00000052">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Financial Health:</w:t>
      </w:r>
    </w:p>
    <w:p w:rsidR="00000000" w:rsidDel="00000000" w:rsidP="00000000" w:rsidRDefault="00000000" w:rsidRPr="00000000" w14:paraId="00000053">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The "Financial Surplus" metric indicates that for the majority of admitted students, their proven funds exceed the university's cost of attendance. This reduces the risk of visa denials on financial grounds.</w:t>
      </w:r>
    </w:p>
    <w:p w:rsidR="00000000" w:rsidDel="00000000" w:rsidP="00000000" w:rsidRDefault="00000000" w:rsidRPr="00000000" w14:paraId="00000054">
      <w:pPr>
        <w:pStyle w:val="Heading3"/>
        <w:keepNext w:val="0"/>
        <w:keepLines w:val="0"/>
        <w:spacing w:before="280" w:lineRule="auto"/>
        <w:rPr>
          <w:b w:val="1"/>
          <w:bCs w:val="1"/>
          <w:color w:val="000000"/>
          <w:sz w:val="24"/>
          <w:szCs w:val="24"/>
        </w:rPr>
      </w:pPr>
      <w:bookmarkStart w:colFirst="0" w:colLast="0" w:name="_4w0hr3n4f6qg" w:id="8"/>
      <w:bookmarkEnd w:id="8"/>
      <w:r w:rsidDel="00000000" w:rsidR="00000000" w:rsidRPr="00000000">
        <w:rPr>
          <w:b w:val="1"/>
          <w:bCs w:val="1"/>
          <w:color w:val="000000"/>
          <w:sz w:val="24"/>
          <w:szCs w:val="24"/>
          <w:rtl w:val="0"/>
        </w:rPr>
        <w:t xml:space="preserve">Anomalies &amp; Data Constraints</w:t>
      </w:r>
    </w:p>
    <w:p w:rsidR="00000000" w:rsidDel="00000000" w:rsidP="00000000" w:rsidRDefault="00000000" w:rsidRPr="00000000" w14:paraId="00000055">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The "Country" Void:</w:t>
      </w:r>
      <w:r w:rsidDel="00000000" w:rsidR="00000000" w:rsidRPr="00000000">
        <w:rPr>
          <w:sz w:val="24"/>
          <w:szCs w:val="24"/>
          <w:rtl w:val="0"/>
        </w:rPr>
        <w:t xml:space="preserve"> The raw application data failed to capture the physical address (</w:t>
      </w:r>
      <w:r w:rsidDel="00000000" w:rsidR="00000000" w:rsidRPr="00000000">
        <w:rPr>
          <w:sz w:val="24"/>
          <w:szCs w:val="24"/>
          <w:rtl w:val="0"/>
        </w:rPr>
        <w:t xml:space="preserve">Country</w:t>
      </w:r>
      <w:r w:rsidDel="00000000" w:rsidR="00000000" w:rsidRPr="00000000">
        <w:rPr>
          <w:sz w:val="24"/>
          <w:szCs w:val="24"/>
          <w:rtl w:val="0"/>
        </w:rPr>
        <w:t xml:space="preserve">) for a vast majority of leads. This forces reliance on </w:t>
      </w:r>
      <w:r w:rsidDel="00000000" w:rsidR="00000000" w:rsidRPr="00000000">
        <w:rPr>
          <w:sz w:val="24"/>
          <w:szCs w:val="24"/>
          <w:rtl w:val="0"/>
        </w:rPr>
        <w:t xml:space="preserve">Citizenship</w:t>
      </w:r>
      <w:r w:rsidDel="00000000" w:rsidR="00000000" w:rsidRPr="00000000">
        <w:rPr>
          <w:sz w:val="24"/>
          <w:szCs w:val="24"/>
          <w:rtl w:val="0"/>
        </w:rPr>
        <w:t xml:space="preserve">, which may differ from residence.</w:t>
      </w:r>
    </w:p>
    <w:p w:rsidR="00000000" w:rsidDel="00000000" w:rsidP="00000000" w:rsidRDefault="00000000" w:rsidRPr="00000000" w14:paraId="00000056">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Program Dominance:The Program Distribution chart reveals that Information Systems (20.5%) and Health Data Science (15.9%) alone comprise nearly 40% of all interest. </w:t>
      </w:r>
      <w:r w:rsidDel="00000000" w:rsidR="00000000" w:rsidRPr="00000000">
        <w:rPr>
          <w:sz w:val="24"/>
          <w:szCs w:val="24"/>
          <w:rtl w:val="0"/>
        </w:rPr>
        <w:t xml:space="preserve">This indicates</w:t>
      </w:r>
      <w:r w:rsidDel="00000000" w:rsidR="00000000" w:rsidRPr="00000000">
        <w:rPr>
          <w:sz w:val="24"/>
          <w:szCs w:val="24"/>
          <w:rtl w:val="0"/>
        </w:rPr>
        <w:t xml:space="preserve"> a "Key Person Risk" regarding specific departments.</w:t>
      </w:r>
    </w:p>
    <w:p w:rsidR="00000000" w:rsidDel="00000000" w:rsidP="00000000" w:rsidRDefault="00000000" w:rsidRPr="00000000" w14:paraId="00000057">
      <w:pPr>
        <w:pStyle w:val="Heading3"/>
        <w:keepNext w:val="0"/>
        <w:keepLines w:val="0"/>
        <w:spacing w:before="280" w:lineRule="auto"/>
        <w:rPr>
          <w:b w:val="1"/>
          <w:bCs w:val="1"/>
          <w:color w:val="000000"/>
          <w:sz w:val="24"/>
          <w:szCs w:val="24"/>
        </w:rPr>
      </w:pPr>
      <w:bookmarkStart w:colFirst="0" w:colLast="0" w:name="_m7127pdryq7c" w:id="9"/>
      <w:bookmarkEnd w:id="9"/>
      <w:r w:rsidDel="00000000" w:rsidR="00000000" w:rsidRPr="00000000">
        <w:rPr>
          <w:b w:val="1"/>
          <w:bCs w:val="1"/>
          <w:color w:val="000000"/>
          <w:sz w:val="24"/>
          <w:szCs w:val="24"/>
          <w:rtl w:val="0"/>
        </w:rPr>
        <w:t xml:space="preserve">Recommendations for Week 3 (Validation)</w:t>
      </w:r>
    </w:p>
    <w:p w:rsidR="00000000" w:rsidDel="00000000" w:rsidP="00000000" w:rsidRDefault="00000000" w:rsidRPr="00000000" w14:paraId="00000058">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Visa correlation:</w:t>
      </w:r>
      <w:r w:rsidDel="00000000" w:rsidR="00000000" w:rsidRPr="00000000">
        <w:rPr>
          <w:sz w:val="24"/>
          <w:szCs w:val="24"/>
          <w:rtl w:val="0"/>
        </w:rPr>
        <w:t xml:space="preserve"> Cross-reference the </w:t>
      </w:r>
      <w:r w:rsidDel="00000000" w:rsidR="00000000" w:rsidRPr="00000000">
        <w:rPr>
          <w:sz w:val="24"/>
          <w:szCs w:val="24"/>
          <w:rtl w:val="0"/>
        </w:rPr>
        <w:t xml:space="preserve">Financial_Surplus</w:t>
      </w:r>
      <w:r w:rsidDel="00000000" w:rsidR="00000000" w:rsidRPr="00000000">
        <w:rPr>
          <w:sz w:val="24"/>
          <w:szCs w:val="24"/>
          <w:rtl w:val="0"/>
        </w:rPr>
        <w:t xml:space="preserve"> data with </w:t>
      </w:r>
      <w:r w:rsidDel="00000000" w:rsidR="00000000" w:rsidRPr="00000000">
        <w:rPr>
          <w:sz w:val="24"/>
          <w:szCs w:val="24"/>
          <w:rtl w:val="0"/>
        </w:rPr>
        <w:t xml:space="preserve">Visa_Issuance</w:t>
      </w:r>
      <w:r w:rsidDel="00000000" w:rsidR="00000000" w:rsidRPr="00000000">
        <w:rPr>
          <w:sz w:val="24"/>
          <w:szCs w:val="24"/>
          <w:rtl w:val="0"/>
        </w:rPr>
        <w:t xml:space="preserve"> status (from the SEVIS table) to confirm if higher surplus actually correlates with higher visa approval rates.</w:t>
      </w:r>
    </w:p>
    <w:p w:rsidR="00000000" w:rsidDel="00000000" w:rsidP="00000000" w:rsidRDefault="00000000" w:rsidRPr="00000000" w14:paraId="00000059">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Outreach Analysis:</w:t>
      </w:r>
      <w:r w:rsidDel="00000000" w:rsidR="00000000" w:rsidRPr="00000000">
        <w:rPr>
          <w:sz w:val="24"/>
          <w:szCs w:val="24"/>
          <w:rtl w:val="0"/>
        </w:rPr>
        <w:t xml:space="preserve"> Analyze the </w:t>
      </w:r>
      <w:r w:rsidDel="00000000" w:rsidR="00000000" w:rsidRPr="00000000">
        <w:rPr>
          <w:sz w:val="24"/>
          <w:szCs w:val="24"/>
          <w:rtl w:val="0"/>
        </w:rPr>
        <w:t xml:space="preserve">Outreach_Remarks</w:t>
      </w:r>
      <w:r w:rsidDel="00000000" w:rsidR="00000000" w:rsidRPr="00000000">
        <w:rPr>
          <w:sz w:val="24"/>
          <w:szCs w:val="24"/>
          <w:rtl w:val="0"/>
        </w:rPr>
        <w:t xml:space="preserve"> (using the concatenated history field) for the 1,093 students who were Admitted but </w:t>
      </w:r>
      <w:r w:rsidDel="00000000" w:rsidR="00000000" w:rsidRPr="00000000">
        <w:rPr>
          <w:i w:val="1"/>
          <w:iCs w:val="1"/>
          <w:sz w:val="24"/>
          <w:szCs w:val="24"/>
          <w:rtl w:val="0"/>
        </w:rPr>
        <w:t xml:space="preserve">did not</w:t>
      </w:r>
      <w:r w:rsidDel="00000000" w:rsidR="00000000" w:rsidRPr="00000000">
        <w:rPr>
          <w:sz w:val="24"/>
          <w:szCs w:val="24"/>
          <w:rtl w:val="0"/>
        </w:rPr>
        <w:t xml:space="preserve"> pay a deposit. Are there common keywords like "Loan," "Competitor," or "Scholarship"?</w:t>
      </w:r>
    </w:p>
    <w:p w:rsidR="00000000" w:rsidDel="00000000" w:rsidP="00000000" w:rsidRDefault="00000000" w:rsidRPr="00000000" w14:paraId="0000005A">
      <w:pPr>
        <w:numPr>
          <w:ilvl w:val="0"/>
          <w:numId w:val="2"/>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Admission factors: </w:t>
      </w:r>
      <w:r w:rsidDel="00000000" w:rsidR="00000000" w:rsidRPr="00000000">
        <w:rPr>
          <w:sz w:val="24"/>
          <w:szCs w:val="24"/>
          <w:rtl w:val="0"/>
        </w:rPr>
        <w:t xml:space="preserve">What are the primary factors that affected admission? Like citizenship, financial surplus, the funding type or something else?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SgMl2kfA6vmasOdV7JK9Mohwr10jniwb/view?usp=sharing" TargetMode="External"/><Relationship Id="rId5" Type="http://schemas.openxmlformats.org/officeDocument/2006/relationships/styles" Target="styles.xml"/><Relationship Id="rId6" Type="http://schemas.openxmlformats.org/officeDocument/2006/relationships/hyperlink" Target="https://lookerstudio.google.com/reporting/82aa2ea5-513e-4153-aeb2-1f4627d318b7" TargetMode="External"/><Relationship Id="rId7" Type="http://schemas.openxmlformats.org/officeDocument/2006/relationships/image" Target="media/image1.png"/><Relationship Id="rId8" Type="http://schemas.openxmlformats.org/officeDocument/2006/relationships/hyperlink" Target="https://docs.google.com/spreadsheets/d/14UYhPLogFjR7sEMrphEltpJbuz8P8vfMYjbpvBVfekc/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