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A66C2"/>
          <w:sz w:val="56"/>
          <w:szCs w:val="56"/>
        </w:rPr>
        <w:t xml:space="preserve">YourHive.io</w:t>
      </w:r>
    </w:p>
    <w:p>
      <w:pPr>
        <w:spacing w:after="100"/>
        <w:jc w:val="center"/>
      </w:pPr>
      <w:r>
        <w:rPr>
          <w:rFonts w:ascii="Arial" w:cs="Arial" w:eastAsia="Arial" w:hAnsi="Arial"/>
          <w:color w:val="666666"/>
          <w:sz w:val="24"/>
          <w:szCs w:val="24"/>
        </w:rPr>
        <w:t xml:space="preserve">The Professional Network for Merchant Ship Crew</w:t>
      </w:r>
    </w:p>
    <w:p>
      <w:pPr>
        <w:spacing w:before="600"/>
      </w:pPr>
    </w:p>
    <w:p>
      <w:pPr>
        <w:spacing w:after="100"/>
        <w:jc w:val="center"/>
      </w:pPr>
      <w:r>
        <w:rPr>
          <w:rFonts w:ascii="Arial" w:cs="Arial" w:eastAsia="Arial" w:hAnsi="Arial"/>
          <w:b/>
          <w:bCs/>
          <w:color w:val="004182"/>
          <w:sz w:val="40"/>
          <w:szCs w:val="40"/>
        </w:rPr>
        <w:t xml:space="preserve">LEGAL COMPLIANCE ASSESSMENT</w:t>
      </w:r>
    </w:p>
    <w:p>
      <w:pPr>
        <w:spacing w:after="100"/>
        <w:jc w:val="center"/>
      </w:pPr>
      <w:r>
        <w:rPr>
          <w:rFonts w:ascii="Arial" w:cs="Arial" w:eastAsia="Arial" w:hAnsi="Arial"/>
          <w:color w:val="E7A33E"/>
          <w:sz w:val="28"/>
          <w:szCs w:val="28"/>
        </w:rPr>
        <w:t xml:space="preserve">Philippine Regulatory Framework</w:t>
      </w:r>
    </w:p>
    <w:p>
      <w:pPr>
        <w:spacing w:before="800"/>
      </w:pPr>
    </w:p>
    <w:p>
      <w:pPr>
        <w:spacing w:after="60"/>
        <w:jc w:val="center"/>
      </w:pPr>
      <w:r>
        <w:rPr>
          <w:rFonts w:ascii="Arial" w:cs="Arial" w:eastAsia="Arial" w:hAnsi="Arial"/>
          <w:color w:val="555555"/>
          <w:sz w:val="22"/>
          <w:szCs w:val="22"/>
        </w:rPr>
        <w:t xml:space="preserve">Platform Model: Professional Visibility &amp; Talent Discovery</w:t>
      </w:r>
    </w:p>
    <w:p>
      <w:pPr>
        <w:spacing w:after="60"/>
        <w:jc w:val="center"/>
      </w:pPr>
      <w:r>
        <w:rPr>
          <w:rFonts w:ascii="Arial" w:cs="Arial" w:eastAsia="Arial" w:hAnsi="Arial"/>
          <w:color w:val="555555"/>
          <w:sz w:val="22"/>
          <w:szCs w:val="22"/>
        </w:rPr>
        <w:t xml:space="preserve">Assessment Date: April 2026</w:t>
      </w:r>
    </w:p>
    <w:p>
      <w:pPr>
        <w:spacing w:after="60"/>
        <w:jc w:val="center"/>
      </w:pPr>
      <w:r>
        <w:rPr>
          <w:rFonts w:ascii="Arial" w:cs="Arial" w:eastAsia="Arial" w:hAnsi="Arial"/>
          <w:b/>
          <w:bCs/>
          <w:color w:val="B71C1C"/>
          <w:sz w:val="22"/>
          <w:szCs w:val="22"/>
        </w:rPr>
        <w:t xml:space="preserve">Status: CONFIDENTIAL</w:t>
      </w:r>
    </w:p>
    <w:p>
      <w:pPr>
        <w:pBdr>
          <w:top w:val="single" w:color="E7A33E" w:sz="6" w:space="12"/>
        </w:pBdr>
        <w:spacing w:before="1200"/>
        <w:jc w:val="center"/>
      </w:pPr>
      <w:r>
        <w:rPr>
          <w:rFonts w:ascii="Arial" w:cs="Arial" w:eastAsia="Arial" w:hAnsi="Arial"/>
          <w:i/>
          <w:iCs/>
          <w:color w:val="888888"/>
          <w:sz w:val="18"/>
          <w:szCs w:val="18"/>
        </w:rPr>
        <w:t xml:space="preserve">DISCLAIMER: This assessment is for internal planning purposes only and does not constitute legal advice. A formal legal opinion from a qualified Philippine attorney is recommended before launch.</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rFonts w:ascii="Arial" w:cs="Arial" w:eastAsia="Arial" w:hAnsi="Arial"/>
          <w:sz w:val="22"/>
          <w:szCs w:val="22"/>
        </w:rPr>
        <w:t xml:space="preserve">This document assesses the legal viability of the YourHive.io platform model under Philippine law, with specific focus on anti-illegal recruitment legislation, the Magna Carta of Filipino Seafarers, and data privacy regulations. The assessment covers the core operational flow in which a seafarer creates a verified professional profile, a shipowner searches and shortlists talent on the platform, and then forwards selected candidates to their DMW-licensed manning agent for contract execution and deployment.</w:t>
      </w:r>
    </w:p>
    <w:p>
      <w:pPr>
        <w:pStyle w:val="Heading2"/>
      </w:pPr>
      <w:r>
        <w:t xml:space="preserve">Platform Core Flow Under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66C2"/>
                <w:sz w:val="20"/>
                <w:szCs w:val="20"/>
              </w:rPr>
              <w:t xml:space="preserve">Step 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Seafarer creates a verified professional profile on YourHive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66C2"/>
                <w:sz w:val="20"/>
                <w:szCs w:val="20"/>
              </w:rPr>
              <w:t xml:space="preserve">Step 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Shipowner / Fleet Manager searches the platform database and discovers talent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66C2"/>
                <w:sz w:val="20"/>
                <w:szCs w:val="20"/>
              </w:rPr>
              <w:t xml:space="preserve">Step 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Shipowner creates a shortlist of candidates</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66C2"/>
                <w:sz w:val="20"/>
                <w:szCs w:val="20"/>
              </w:rPr>
              <w:t xml:space="preserve">Step 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Shipowner forwards shortlist to their DMW-licensed manning agent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66C2"/>
                <w:sz w:val="20"/>
                <w:szCs w:val="20"/>
              </w:rPr>
              <w:t xml:space="preserve">Step 5</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Manning agent executes contract and deployment (outside YourHive)</w:t>
            </w:r>
          </w:p>
        </w:tc>
      </w:tr>
    </w:tbl>
    <w:p>
      <w:pPr>
        <w:spacing w:after="200"/>
      </w:pPr>
    </w:p>
    <w:p>
      <w:pPr>
        <w:pStyle w:val="Heading1"/>
      </w:pPr>
      <w:r>
        <w:t xml:space="preserve">1. Illegal Recruitment Test</w:t>
      </w:r>
    </w:p>
    <w:p>
      <w:pPr>
        <w:spacing w:after="120"/>
      </w:pPr>
      <w:r>
        <w:rPr>
          <w:rFonts w:ascii="Arial" w:cs="Arial" w:eastAsia="Arial" w:hAnsi="Arial"/>
          <w:i/>
          <w:iCs/>
          <w:color w:val="555555"/>
          <w:sz w:val="22"/>
          <w:szCs w:val="22"/>
        </w:rPr>
        <w:t xml:space="preserve">Assessment against Section 6, R.A. 8042 as amended by R.A. 10022, and Articles 38-39 of the Labor Code (P.D. 442).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 &amp; Legal Reference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 canvassing, enlisting, or procuring of workers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YourHive does not canvass, enlist, hire, or procure workers. The seafarer voluntarily creates a profile. The platform is passive — it displays data, it does not deploy people.</w:t>
            </w:r>
          </w:p>
          <w:p>
            <w:r>
              <w:rPr>
                <w:rFonts w:ascii="Arial" w:cs="Arial" w:eastAsia="Arial" w:hAnsi="Arial"/>
                <w:i/>
                <w:iCs/>
                <w:color w:val="666666"/>
                <w:sz w:val="18"/>
                <w:szCs w:val="18"/>
              </w:rPr>
              <w:t xml:space="preserve">Sec. 6, R.A. 10022 — definition of illegal recruitment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 promising or advertising employment abroad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YourHive does not promise, guarantee, or advertise any employment. It enables professional visibility. The shipowner discovers talent and refers to a licensed manning agent.</w:t>
            </w:r>
          </w:p>
          <w:p>
            <w:r>
              <w:rPr>
                <w:rFonts w:ascii="Arial" w:cs="Arial" w:eastAsia="Arial" w:hAnsi="Arial"/>
                <w:i/>
                <w:iCs/>
                <w:color w:val="666666"/>
                <w:sz w:val="18"/>
                <w:szCs w:val="18"/>
              </w:rPr>
              <w:t xml:space="preserve">Sec. 6, R.A. 10022 — “promising or advertising for employment abroad”</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 collection of fees from seafarers for placement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YourHive charges subscription fees for premium features (career advice, CV vetting) — not placement fees. No fee is charged in connection with employment opportunities. Seafarer free tier offers full profile visibility.</w:t>
            </w:r>
          </w:p>
          <w:p>
            <w:r>
              <w:rPr>
                <w:rFonts w:ascii="Arial" w:cs="Arial" w:eastAsia="Arial" w:hAnsi="Arial"/>
                <w:i/>
                <w:iCs/>
                <w:color w:val="666666"/>
                <w:sz w:val="18"/>
                <w:szCs w:val="18"/>
              </w:rPr>
              <w:t xml:space="preserve">Sec. 6(a), R.A. 10022 — prohibition on unauthorized fees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 execution of employment contracts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YourHive never negotiates, signs, or executes employment contracts. All contracting flows through DMW-licensed manning agents, as required by law.</w:t>
            </w:r>
          </w:p>
          <w:p>
            <w:r>
              <w:rPr>
                <w:rFonts w:ascii="Arial" w:cs="Arial" w:eastAsia="Arial" w:hAnsi="Arial"/>
                <w:i/>
                <w:iCs/>
                <w:color w:val="666666"/>
                <w:sz w:val="18"/>
                <w:szCs w:val="18"/>
              </w:rPr>
              <w:t xml:space="preserve">Sec. 31, R.A. 12021 (Magna Carta) — “Only duly licensed manning agencies shall be allowed to operate and engage in the recruitment and placement of seafarers”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 deployment or travel document processing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YourHive does not process OECs, visas, passports, or any deployment documents. The platform stores only professional profile data uploaded voluntarily by the seafarer.</w:t>
            </w:r>
          </w:p>
          <w:p>
            <w:r>
              <w:rPr>
                <w:rFonts w:ascii="Arial" w:cs="Arial" w:eastAsia="Arial" w:hAnsi="Arial"/>
                <w:i/>
                <w:iCs/>
                <w:color w:val="666666"/>
                <w:sz w:val="18"/>
                <w:szCs w:val="18"/>
              </w:rPr>
              <w:t xml:space="preserve">Sec. 6(i-k), R.A. 10022 — deployment-related prohibitions</w:t>
            </w:r>
          </w:p>
        </w:tc>
      </w:tr>
    </w:tbl>
    <w:p>
      <w:pPr>
        <w:spacing w:after="200"/>
      </w:pPr>
    </w:p>
    <w:p>
      <w:pPr>
        <w:pStyle w:val="Heading1"/>
      </w:pPr>
      <w:r>
        <w:t xml:space="preserve">2. Manning Agent Relationship</w:t>
      </w:r>
    </w:p>
    <w:p>
      <w:pPr>
        <w:spacing w:after="120"/>
      </w:pPr>
      <w:r>
        <w:rPr>
          <w:rFonts w:ascii="Arial" w:cs="Arial" w:eastAsia="Arial" w:hAnsi="Arial"/>
          <w:i/>
          <w:iCs/>
          <w:color w:val="555555"/>
          <w:sz w:val="22"/>
          <w:szCs w:val="22"/>
        </w:rPr>
        <w:t xml:space="preserve">Assessment against R.A. 12021 (Magna Carta of Filipino Seafarers), signed September 23, 2024, IRR effective January 8,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 &amp; Legal Reference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Manning agent role is preserved, not bypassed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The core flow is: shipowner discovers seafarer on YourHive, then forwards the shortlist to their DMW-licensed manning agent for execution. The agent handles contracts, POEA/DMW processing, deployment. YourHive enhances the agent’s pipeline — it does not replace it.</w:t>
            </w:r>
          </w:p>
          <w:p>
            <w:r>
              <w:rPr>
                <w:rFonts w:ascii="Arial" w:cs="Arial" w:eastAsia="Arial" w:hAnsi="Arial"/>
                <w:i/>
                <w:iCs/>
                <w:color w:val="666666"/>
                <w:sz w:val="18"/>
                <w:szCs w:val="18"/>
              </w:rPr>
              <w:t xml:space="preserve">Sec. 31, R.A. 12021 — mandatory licensed agency requirement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No solidary liability assumed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Because YourHive does not participate in recruitment or placement, it does not assume the joint and several liability that falls on manning agencies and their principals under Sec. 32 of R.A. 12021.</w:t>
            </w:r>
          </w:p>
          <w:p>
            <w:r>
              <w:rPr>
                <w:rFonts w:ascii="Arial" w:cs="Arial" w:eastAsia="Arial" w:hAnsi="Arial"/>
                <w:i/>
                <w:iCs/>
                <w:color w:val="666666"/>
                <w:sz w:val="18"/>
                <w:szCs w:val="18"/>
              </w:rPr>
              <w:t xml:space="preserve">Sec. 32, R.A. 12021 — solidary liability of manning agencies</w:t>
            </w:r>
          </w:p>
        </w:tc>
      </w:tr>
    </w:tbl>
    <w:p>
      <w:pPr>
        <w:spacing w:after="200"/>
      </w:pPr>
    </w:p>
    <w:p>
      <w:pPr>
        <w:pStyle w:val="Heading1"/>
      </w:pPr>
      <w:r>
        <w:t xml:space="preserve">3. Data Privacy Compliance</w:t>
      </w:r>
    </w:p>
    <w:p>
      <w:pPr>
        <w:spacing w:after="120"/>
      </w:pPr>
      <w:r>
        <w:rPr>
          <w:rFonts w:ascii="Arial" w:cs="Arial" w:eastAsia="Arial" w:hAnsi="Arial"/>
          <w:i/>
          <w:iCs/>
          <w:color w:val="555555"/>
          <w:sz w:val="22"/>
          <w:szCs w:val="22"/>
        </w:rPr>
        <w:t xml:space="preserve">Assessment against R.A. 10173 (Data Privacy Act of 2012), its IRR, and NPC Circulars.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 &amp; Legal Reference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Consent-based processing with DPA compliance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The YourHive Seafarer Consent &amp; Data Processing Agreement covers all NPC requirements: freely given, specific, informed consent; separate consent for sensitive data; DPO designation; PIA for AI systems; breach notification procedures.</w:t>
            </w:r>
          </w:p>
          <w:p>
            <w:r>
              <w:rPr>
                <w:rFonts w:ascii="Arial" w:cs="Arial" w:eastAsia="Arial" w:hAnsi="Arial"/>
                <w:i/>
                <w:iCs/>
                <w:color w:val="666666"/>
                <w:sz w:val="18"/>
                <w:szCs w:val="18"/>
              </w:rPr>
              <w:t xml:space="preserve">Secs. 12-13, R.A. 10173; NPC Circular 2023-04</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Cross-border transfer safeguards included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The consent agreement includes provisions for cross-border data transfers with adequate safeguards, NPC notification, and user consent — critical for Philippines-to-Greece/global data flows.</w:t>
            </w:r>
          </w:p>
          <w:p>
            <w:r>
              <w:rPr>
                <w:rFonts w:ascii="Arial" w:cs="Arial" w:eastAsia="Arial" w:hAnsi="Arial"/>
                <w:i/>
                <w:iCs/>
                <w:color w:val="666666"/>
                <w:sz w:val="18"/>
                <w:szCs w:val="18"/>
              </w:rPr>
              <w:t xml:space="preserve">Sec. 21, R.A. 10173 — extraterritorial application</w:t>
            </w:r>
          </w:p>
        </w:tc>
      </w:tr>
    </w:tbl>
    <w:p>
      <w:pPr>
        <w:spacing w:after="200"/>
      </w:pPr>
    </w:p>
    <w:p>
      <w:pPr>
        <w:pStyle w:val="Heading1"/>
      </w:pPr>
      <w:r>
        <w:t xml:space="preserve">4. Platform Classification</w:t>
      </w:r>
    </w:p>
    <w:p>
      <w:pPr>
        <w:spacing w:after="120"/>
      </w:pPr>
      <w:r>
        <w:rPr>
          <w:rFonts w:ascii="Arial" w:cs="Arial" w:eastAsia="Arial" w:hAnsi="Arial"/>
          <w:i/>
          <w:iCs/>
          <w:color w:val="555555"/>
          <w:sz w:val="22"/>
          <w:szCs w:val="22"/>
        </w:rPr>
        <w:t xml:space="preserve">Assessment of YourHive’s classification as a SaaS / Technology provider vs. recruitment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Analysis &amp; Legal Reference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Software-as-a-Service, not recruitment agency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YourHive operates as a professional networking SaaS platform — analogous to LinkedIn. It provides tools for profile creation, search, and professional visibility. It does not match workers to specific jobs or execute placements.</w:t>
            </w:r>
          </w:p>
          <w:p>
            <w:r>
              <w:rPr>
                <w:rFonts w:ascii="Arial" w:cs="Arial" w:eastAsia="Arial" w:hAnsi="Arial"/>
                <w:i/>
                <w:iCs/>
                <w:color w:val="666666"/>
                <w:sz w:val="18"/>
                <w:szCs w:val="18"/>
              </w:rPr>
              <w:t xml:space="preserve">Art. 13(f), P.D. 442 (Labor Code) — definition of “recruitment and placement”</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CAUTION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AI matching feature requires careful framing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333333"/>
                <w:sz w:val="20"/>
                <w:szCs w:val="20"/>
              </w:rPr>
              <w:t xml:space="preserve">If AI matching directly connects seafarers to specific job openings posted by principals, this could be interpreted as “referring” — a listed activity under the illegal recruitment definition. Safeguard: AI should recommend profile visibility / compatibility scores to the shipowner searching, NOT send job offers to seafarers on behalf of employers.</w:t>
            </w:r>
          </w:p>
          <w:p>
            <w:r>
              <w:rPr>
                <w:rFonts w:ascii="Arial" w:cs="Arial" w:eastAsia="Arial" w:hAnsi="Arial"/>
                <w:i/>
                <w:iCs/>
                <w:color w:val="666666"/>
                <w:sz w:val="18"/>
                <w:szCs w:val="18"/>
              </w:rPr>
              <w:t xml:space="preserve">Sec. 6, R.A. 10022 — “includes referring”</w:t>
            </w:r>
          </w:p>
        </w:tc>
      </w:tr>
    </w:tbl>
    <w:p>
      <w:pPr>
        <w:spacing w:after="200"/>
      </w:pPr>
    </w:p>
    <w:p>
      <w:r>
        <w:br w:type="page"/>
      </w:r>
    </w:p>
    <w:p>
      <w:pPr>
        <w:pStyle w:val="Heading1"/>
      </w:pPr>
      <w:r>
        <w:t xml:space="preserve">5. 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3"/>
              <w:bottom w:val="single" w:color="2E7D32" w:sz="3"/>
              <w:right w:val="single" w:color="2E7D32" w:sz="3"/>
            </w:tcBorders>
            <w:shd w:fill="E8F5E9" w:val="clear"/>
            <w:tcMar>
              <w:top w:type="dxa" w:w="200"/>
              <w:left w:type="dxa" w:w="200"/>
              <w:bottom w:type="dxa" w:w="200"/>
              <w:right w:type="dxa" w:w="200"/>
            </w:tcMar>
          </w:tcPr>
          <w:p>
            <w:pPr>
              <w:spacing w:after="120"/>
            </w:pPr>
            <w:r>
              <w:rPr>
                <w:rFonts w:ascii="Arial" w:cs="Arial" w:eastAsia="Arial" w:hAnsi="Arial"/>
                <w:b/>
                <w:bCs/>
                <w:color w:val="1B5E20"/>
                <w:sz w:val="28"/>
                <w:szCs w:val="28"/>
              </w:rPr>
              <w:t xml:space="preserve">VERDICT: THE MODEL IS LEGALLY VIABLE</w:t>
            </w:r>
          </w:p>
          <w:p>
            <w:pPr>
              <w:spacing w:after="120"/>
            </w:pPr>
            <w:r>
              <w:rPr>
                <w:rFonts w:ascii="Arial" w:cs="Arial" w:eastAsia="Arial" w:hAnsi="Arial"/>
                <w:color w:val="1B5E20"/>
                <w:sz w:val="22"/>
                <w:szCs w:val="22"/>
              </w:rPr>
              <w:t xml:space="preserve">The YourHive flow — seafarer creates profile, shipowner searches and shortlists, manning agent executes — falls clearly outside the statutory definition of recruitment and placement under Philippine law.</w:t>
            </w:r>
          </w:p>
          <w:p>
            <w:r>
              <w:rPr>
                <w:rFonts w:ascii="Arial" w:cs="Arial" w:eastAsia="Arial" w:hAnsi="Arial"/>
                <w:color w:val="1B5E20"/>
                <w:sz w:val="22"/>
                <w:szCs w:val="22"/>
              </w:rPr>
              <w:t xml:space="preserve">The platform does not canvass, enlist, procure, promise employment, collect placement fees, or execute contracts. It is a professional visibility tool, not a recruitment intermediary.</w:t>
            </w:r>
          </w:p>
        </w:tc>
      </w:tr>
    </w:tbl>
    <w:p>
      <w:pPr>
        <w:spacing w:after="300"/>
      </w:pPr>
    </w:p>
    <w:p>
      <w:pPr>
        <w:pStyle w:val="Heading1"/>
      </w:pPr>
      <w:r>
        <w:t xml:space="preserve">6. Critical Safeguards to Maintain</w:t>
      </w:r>
    </w:p>
    <w:p>
      <w:pPr>
        <w:spacing w:after="100"/>
      </w:pPr>
      <w:r>
        <w:rPr>
          <w:rFonts w:ascii="Arial" w:cs="Arial" w:eastAsia="Arial" w:hAnsi="Arial"/>
          <w:sz w:val="22"/>
          <w:szCs w:val="22"/>
        </w:rPr>
        <w:t xml:space="preserve">The following operational safeguards must be maintained to preserve the platform’s legal standing:</w:t>
      </w:r>
    </w:p>
    <w:p>
      <w:pPr>
        <w:pStyle w:val="ListParagraph"/>
        <w:numPr>
          <w:ilvl w:val="0"/>
          <w:numId w:val="2"/>
        </w:numPr>
        <w:spacing w:after="120"/>
      </w:pPr>
      <w:r>
        <w:rPr>
          <w:rFonts w:ascii="Arial" w:cs="Arial" w:eastAsia="Arial" w:hAnsi="Arial"/>
          <w:b/>
          <w:bCs/>
          <w:sz w:val="22"/>
          <w:szCs w:val="22"/>
        </w:rPr>
        <w:t xml:space="preserve">AI Matching Framing: </w:t>
      </w:r>
      <w:r>
        <w:rPr>
          <w:rFonts w:ascii="Arial" w:cs="Arial" w:eastAsia="Arial" w:hAnsi="Arial"/>
          <w:sz w:val="22"/>
          <w:szCs w:val="22"/>
        </w:rPr>
        <w:t xml:space="preserve">AI matching must be framed as “talent discovery” for the employer, not “job referral” to the seafarer. The shipowner searches — the seafarer does not receive job offers from YourHive.</w:t>
      </w:r>
    </w:p>
    <w:p>
      <w:pPr>
        <w:pStyle w:val="ListParagraph"/>
        <w:numPr>
          <w:ilvl w:val="0"/>
          <w:numId w:val="2"/>
        </w:numPr>
        <w:spacing w:after="120"/>
      </w:pPr>
      <w:r>
        <w:rPr>
          <w:rFonts w:ascii="Arial" w:cs="Arial" w:eastAsia="Arial" w:hAnsi="Arial"/>
          <w:b/>
          <w:bCs/>
          <w:sz w:val="22"/>
          <w:szCs w:val="22"/>
        </w:rPr>
        <w:t xml:space="preserve">Fee Structure: </w:t>
      </w:r>
      <w:r>
        <w:rPr>
          <w:rFonts w:ascii="Arial" w:cs="Arial" w:eastAsia="Arial" w:hAnsi="Arial"/>
          <w:sz w:val="22"/>
          <w:szCs w:val="22"/>
        </w:rPr>
        <w:t xml:space="preserve">Never charge fees tied to employment outcomes. Subscription fees for premium features (career advice, CV vetting) are acceptable. Per-deployment success fees should be charged to employers/agents only, never to seafarers.</w:t>
      </w:r>
    </w:p>
    <w:p>
      <w:pPr>
        <w:pStyle w:val="ListParagraph"/>
        <w:numPr>
          <w:ilvl w:val="0"/>
          <w:numId w:val="2"/>
        </w:numPr>
        <w:spacing w:after="120"/>
      </w:pPr>
      <w:r>
        <w:rPr>
          <w:rFonts w:ascii="Arial" w:cs="Arial" w:eastAsia="Arial" w:hAnsi="Arial"/>
          <w:b/>
          <w:bCs/>
          <w:sz w:val="22"/>
          <w:szCs w:val="22"/>
        </w:rPr>
        <w:t xml:space="preserve">DMW License Verification: </w:t>
      </w:r>
      <w:r>
        <w:rPr>
          <w:rFonts w:ascii="Arial" w:cs="Arial" w:eastAsia="Arial" w:hAnsi="Arial"/>
          <w:sz w:val="22"/>
          <w:szCs w:val="22"/>
        </w:rPr>
        <w:t xml:space="preserve">Verify all manning agents on the platform hold valid DMW licenses. Build DMW license verification into the onboarding flow for all B2B accounts.</w:t>
      </w:r>
    </w:p>
    <w:p>
      <w:pPr>
        <w:pStyle w:val="ListParagraph"/>
        <w:numPr>
          <w:ilvl w:val="0"/>
          <w:numId w:val="2"/>
        </w:numPr>
        <w:spacing w:after="120"/>
      </w:pPr>
      <w:r>
        <w:rPr>
          <w:rFonts w:ascii="Arial" w:cs="Arial" w:eastAsia="Arial" w:hAnsi="Arial"/>
          <w:b/>
          <w:bCs/>
          <w:sz w:val="22"/>
          <w:szCs w:val="22"/>
        </w:rPr>
        <w:t xml:space="preserve">Clear Disclaimers: </w:t>
      </w:r>
      <w:r>
        <w:rPr>
          <w:rFonts w:ascii="Arial" w:cs="Arial" w:eastAsia="Arial" w:hAnsi="Arial"/>
          <w:sz w:val="22"/>
          <w:szCs w:val="22"/>
        </w:rPr>
        <w:t xml:space="preserve">Include clear disclaimers in all user-facing materials that YourHive is not a recruitment agency and does not engage in recruitment and placement as defined under Philippine law.</w:t>
      </w:r>
    </w:p>
    <w:p>
      <w:pPr>
        <w:pStyle w:val="ListParagraph"/>
        <w:numPr>
          <w:ilvl w:val="0"/>
          <w:numId w:val="2"/>
        </w:numPr>
        <w:spacing w:after="120"/>
      </w:pPr>
      <w:r>
        <w:rPr>
          <w:rFonts w:ascii="Arial" w:cs="Arial" w:eastAsia="Arial" w:hAnsi="Arial"/>
          <w:b/>
          <w:bCs/>
          <w:sz w:val="22"/>
          <w:szCs w:val="22"/>
        </w:rPr>
        <w:t xml:space="preserve">Formal Legal Opinion: </w:t>
      </w:r>
      <w:r>
        <w:rPr>
          <w:rFonts w:ascii="Arial" w:cs="Arial" w:eastAsia="Arial" w:hAnsi="Arial"/>
          <w:sz w:val="22"/>
          <w:szCs w:val="22"/>
        </w:rPr>
        <w:t xml:space="preserve">Engage a Philippine maritime law firm (e.g., Del Rosario &amp; Del Rosario) for a formal legal opinion before launch. This assessment supports viability but does not replace attorney certification.</w:t>
      </w:r>
    </w:p>
    <w:p>
      <w:pPr>
        <w:spacing w:after="300"/>
      </w:pPr>
    </w:p>
    <w:p>
      <w:pPr>
        <w:pStyle w:val="Heading1"/>
      </w:pPr>
      <w:r>
        <w:t xml:space="preserve">7. Legislation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Law / Regulation</w:t>
            </w:r>
          </w:p>
        </w:tc>
        <w:tc>
          <w:tcPr>
            <w:tcW w:type="dxa" w:w="58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R.A. 8042, as amended by R.A. 10022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Migrant Workers and Overseas Filipinos Act — defines illegal recruitment, penalties, and enforcement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P.D. 442 (Labor Code), Art. 13(f), 38-39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Definition of recruitment and placement; illegal recruitment provisions for local employment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R.A. 12021 (Magna Carta of Filipino Seafarers)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Signed Sept 23, 2024, IRR Jan 8, 2025 — mandates licensed manning agencies for all seafarer recruitment; solidary liability provisions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R.A. 11641 (DMW Act)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Established the Department of Migrant Workers; licensing and regulatory authority over manning agencies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R.A. 10173 (Data Privacy Act of 2012)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Personal data processing, consent, cross-border transfer, NPC registration, and breach notification requirements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NPC Circular 2023-04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Guidelines on consent — standards for freely given, specific, informed, and unambiguous consent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NPC Advisory 2023-01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Guidelines on deceptive design patterns — prohibition on dark patterns in consent mechanisms</w:t>
            </w:r>
          </w:p>
        </w:tc>
      </w:tr>
    </w:tbl>
    <w:p>
      <w:pPr>
        <w:spacing w:after="400"/>
      </w:pPr>
    </w:p>
    <w:p>
      <w:pPr>
        <w:pBdr>
          <w:top w:val="single" w:color="E7A33E" w:sz="2" w:space="12"/>
        </w:pBdr>
        <w:jc w:val="center"/>
      </w:pPr>
      <w:r>
        <w:rPr>
          <w:rFonts w:ascii="Arial" w:cs="Arial" w:eastAsia="Arial" w:hAnsi="Arial"/>
          <w:color w:val="999999"/>
          <w:sz w:val="18"/>
          <w:szCs w:val="18"/>
        </w:rPr>
        <w:t xml:space="preserve">© 2026 YourHive.io — All rights reserved.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18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A66C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2026-04-04T14:31:31.820Z</dcterms:created>
  <dcterms:modified xsi:type="dcterms:W3CDTF">2026-04-04T14:31:31.821Z</dcterms:modified>
</cp:coreProperties>
</file>

<file path=docProps/custom.xml><?xml version="1.0" encoding="utf-8"?>
<Properties xmlns="http://schemas.openxmlformats.org/officeDocument/2006/custom-properties" xmlns:vt="http://schemas.openxmlformats.org/officeDocument/2006/docPropsVTypes"/>
</file>