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Calibri" w:cs="Calibri" w:eastAsia="Calibri" w:hAnsi="Calibri"/>
          <w:b/>
          <w:bCs/>
          <w:color w:val="475569"/>
          <w:spacing w:val="100"/>
          <w:sz w:val="20"/>
          <w:szCs w:val="20"/>
        </w:rPr>
        <w:t xml:space="preserve">NEXT2ME GROUP</w:t>
      </w:r>
    </w:p>
    <w:p>
      <w:pPr>
        <w:spacing w:after="480"/>
        <w:jc w:val="center"/>
      </w:pPr>
      <w:r>
        <w:rPr>
          <w:rFonts w:ascii="Calibri" w:cs="Calibri" w:eastAsia="Calibri" w:hAnsi="Calibri"/>
          <w:color w:val="1E3A8A"/>
          <w:sz w:val="16"/>
          <w:szCs w:val="16"/>
        </w:rPr>
        <w:t xml:space="preserve">━━━━━━━━━━━━━━━━━━━━━━━━━━</w:t>
      </w:r>
    </w:p>
    <w:p>
      <w:pPr>
        <w:spacing w:after="240"/>
        <w:jc w:val="center"/>
      </w:pPr>
      <w:r>
        <w:rPr>
          <w:rFonts w:ascii="Calibri" w:cs="Calibri" w:eastAsia="Calibri" w:hAnsi="Calibri"/>
          <w:b/>
          <w:bCs/>
          <w:color w:val="1E3A8A"/>
          <w:sz w:val="44"/>
          <w:szCs w:val="44"/>
        </w:rPr>
        <w:t xml:space="preserve">DATA PROTECTION</w:t>
      </w:r>
    </w:p>
    <w:p>
      <w:pPr>
        <w:spacing w:after="480"/>
        <w:jc w:val="center"/>
      </w:pPr>
      <w:r>
        <w:rPr>
          <w:rFonts w:ascii="Calibri" w:cs="Calibri" w:eastAsia="Calibri" w:hAnsi="Calibri"/>
          <w:b/>
          <w:bCs/>
          <w:color w:val="1E3A8A"/>
          <w:sz w:val="44"/>
          <w:szCs w:val="44"/>
        </w:rPr>
        <w:t xml:space="preserve">IMPACT ASSESSMENT</w:t>
      </w:r>
    </w:p>
    <w:p>
      <w:pPr>
        <w:spacing w:after="240"/>
        <w:jc w:val="center"/>
      </w:pPr>
      <w:r>
        <w:rPr>
          <w:rFonts w:ascii="Calibri" w:cs="Calibri" w:eastAsia="Calibri" w:hAnsi="Calibri"/>
          <w:i/>
          <w:iCs/>
          <w:color w:val="0F172A"/>
          <w:sz w:val="32"/>
          <w:szCs w:val="32"/>
        </w:rPr>
        <w:t xml:space="preserve">Next2View Legal Vault</w:t>
      </w:r>
    </w:p>
    <w:p>
      <w:pPr>
        <w:spacing w:after="480"/>
        <w:jc w:val="center"/>
      </w:pPr>
      <w:r>
        <w:rPr>
          <w:rFonts w:ascii="Calibri" w:cs="Calibri" w:eastAsia="Calibri" w:hAnsi="Calibri"/>
          <w:color w:val="475569"/>
          <w:sz w:val="22"/>
          <w:szCs w:val="22"/>
        </w:rPr>
        <w:t xml:space="preserve">Enhanced Edition — Full Regulator-Ready</w:t>
      </w:r>
    </w:p>
    <w:p>
      <w:pPr>
        <w:spacing w:after="1200"/>
        <w:jc w:val="center"/>
      </w:pPr>
      <w:r>
        <w:rPr>
          <w:rFonts w:ascii="Calibri" w:cs="Calibri" w:eastAsia="Calibri" w:hAnsi="Calibri"/>
          <w:color w:val="475569"/>
          <w:sz w:val="22"/>
          <w:szCs w:val="22"/>
        </w:rPr>
        <w:t xml:space="preserve">Secure Contract Management Platform</w:t>
      </w:r>
    </w:p>
    <w:p>
      <w:pPr>
        <w:spacing w:after="120"/>
        <w:jc w:val="center"/>
      </w:pPr>
      <w:r>
        <w:rPr>
          <w:rFonts w:ascii="Calibri" w:cs="Calibri" w:eastAsia="Calibri" w:hAnsi="Calibri"/>
          <w:i/>
          <w:iCs/>
          <w:color w:val="475569"/>
          <w:sz w:val="20"/>
          <w:szCs w:val="20"/>
        </w:rPr>
        <w:t xml:space="preserve">Pursuant to Article 35 of Regulation (EU) 2016/679</w:t>
      </w:r>
    </w:p>
    <w:p>
      <w:pPr>
        <w:spacing w:after="1200"/>
        <w:jc w:val="center"/>
      </w:pPr>
      <w:r>
        <w:rPr>
          <w:rFonts w:ascii="Calibri" w:cs="Calibri" w:eastAsia="Calibri" w:hAnsi="Calibri"/>
          <w:i/>
          <w:iCs/>
          <w:color w:val="475569"/>
          <w:sz w:val="20"/>
          <w:szCs w:val="20"/>
        </w:rPr>
        <w:t xml:space="preserve">General Data Protection Regulation (GDPR)</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Document Version</w:t>
            </w:r>
          </w:p>
        </w:tc>
        <w:tc>
          <w:tcPr>
            <w:tcW w:type="dxa" w:w="43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1.1 (Enhanced — 24 April 2026)</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Supersedes</w:t>
            </w:r>
          </w:p>
        </w:tc>
        <w:tc>
          <w:tcPr>
            <w:tcW w:type="dxa" w:w="43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DPIA v1.0 (24 April 2026)</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Data Controller</w:t>
            </w:r>
          </w:p>
        </w:tc>
        <w:tc>
          <w:tcPr>
            <w:tcW w:type="dxa" w:w="43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Next2me Group</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DPO / Assessor</w:t>
            </w:r>
          </w:p>
        </w:tc>
        <w:tc>
          <w:tcPr>
            <w:tcW w:type="dxa" w:w="43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Apostolos Kagelaris, CEO</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Classification</w:t>
            </w:r>
          </w:p>
        </w:tc>
        <w:tc>
          <w:tcPr>
            <w:tcW w:type="dxa" w:w="432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DC2626"/>
                <w:sz w:val="20"/>
                <w:szCs w:val="20"/>
              </w:rPr>
              <w:t xml:space="preserve">CONFIDENTIAL — Legal / Compliance</w:t>
            </w:r>
          </w:p>
        </w:tc>
      </w:tr>
    </w:tbl>
    <w:p>
      <w:r>
        <w:br w:type="page"/>
      </w:r>
    </w:p>
    <w:p>
      <w:pPr>
        <w:pStyle w:val="Heading1"/>
        <w:spacing w:after="240" w:before="480"/>
      </w:pPr>
      <w:r>
        <w:rPr>
          <w:rFonts w:ascii="Calibri" w:cs="Calibri" w:eastAsia="Calibri" w:hAnsi="Calibri"/>
          <w:b/>
          <w:bCs/>
          <w:color w:val="1E3A8A"/>
          <w:sz w:val="32"/>
          <w:szCs w:val="3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Version</w:t>
            </w:r>
          </w:p>
        </w:tc>
        <w:tc>
          <w:tcPr>
            <w:tcW w:type="dxa" w:w="18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Date</w:t>
            </w:r>
          </w:p>
        </w:tc>
        <w:tc>
          <w:tcPr>
            <w:tcW w:type="dxa" w:w="22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Author</w:t>
            </w:r>
          </w:p>
        </w:tc>
        <w:tc>
          <w:tcPr>
            <w:tcW w:type="dxa" w:w="39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Changes</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1.0</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24 April 2026</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 Kagelaris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Initial issue — baseline assessment</w:t>
            </w:r>
          </w:p>
        </w:tc>
      </w:tr>
      <w:tr>
        <w:tc>
          <w:tcPr>
            <w:tcW w:type="dxa" w:w="1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1.1</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24 April 2026</w:t>
            </w:r>
          </w:p>
        </w:tc>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 Kagelaris</w:t>
            </w:r>
          </w:p>
        </w:tc>
        <w:tc>
          <w:tcPr>
            <w:tcW w:type="dxa" w:w="39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Enhanced edition following external legal audit. Added: (i) Data Minimisation statement (§4.5); (ii) Formal Right to Erasure procedure (§7); (iii) Records of Processing Activities — RoPA register (Appendix A); (iv) Sub-processor register with SCCs analysis (§2.5); (v) Expanded Retention Policy with per-category table (§8); (vi) Employee Privacy Notice framework reference (§11).</w:t>
            </w:r>
          </w:p>
        </w:tc>
      </w:tr>
    </w:tbl>
    <w:p>
      <w:r>
        <w:br w:type="page"/>
      </w:r>
    </w:p>
    <w:p>
      <w:pPr>
        <w:pStyle w:val="Heading1"/>
        <w:spacing w:after="240" w:before="480"/>
      </w:pPr>
      <w:r>
        <w:rPr>
          <w:rFonts w:ascii="Calibri" w:cs="Calibri" w:eastAsia="Calibri" w:hAnsi="Calibri"/>
          <w:b/>
          <w:bCs/>
          <w:color w:val="1E3A8A"/>
          <w:sz w:val="32"/>
          <w:szCs w:val="32"/>
        </w:rPr>
        <w:t xml:space="preserve">1. Executive Summary</w:t>
      </w:r>
    </w:p>
    <w:p>
      <w:pPr>
        <w:spacing w:after="120" w:line="300"/>
        <w:jc w:val="both"/>
      </w:pPr>
      <w:r>
        <w:rPr>
          <w:rFonts w:ascii="Calibri" w:cs="Calibri" w:eastAsia="Calibri" w:hAnsi="Calibri"/>
          <w:sz w:val="22"/>
          <w:szCs w:val="22"/>
        </w:rPr>
        <w:t xml:space="preserve">This Data Protection Impact Assessment (hereinafter "DPIA") has been conducted pursuant to Article 35 of the General Data Protection Regulation (Regulation (EU) 2016/679, hereinafter "GDPR") in relation to the Next2View Legal Vault — a proprietary, purpose-built platform developed by the Next2me Group for the secure storage, processing, and management of legal contracts and confidential commercial documentation.</w:t>
      </w:r>
    </w:p>
    <w:p>
      <w:pPr>
        <w:spacing w:after="120" w:line="300"/>
        <w:jc w:val="both"/>
      </w:pPr>
      <w:r>
        <w:rPr>
          <w:rFonts w:ascii="Calibri" w:cs="Calibri" w:eastAsia="Calibri" w:hAnsi="Calibri"/>
          <w:sz w:val="22"/>
          <w:szCs w:val="22"/>
        </w:rPr>
        <w:t xml:space="preserve">The Legal Vault has been architected from inception under a "privacy-by-design" and "privacy-by-default" paradigm (Article 25 GDPR), incorporating a five-layer defence-in-depth security model that exceeds industry-standard practices for processing commercial contractual data.</w:t>
      </w:r>
    </w:p>
    <w:p>
      <w:pPr>
        <w:spacing w:after="120" w:line="300"/>
        <w:jc w:val="both"/>
      </w:pPr>
      <w:r>
        <w:rPr>
          <w:rFonts w:ascii="Calibri" w:cs="Calibri" w:eastAsia="Calibri" w:hAnsi="Calibri"/>
          <w:sz w:val="22"/>
          <w:szCs w:val="22"/>
        </w:rPr>
        <w:t xml:space="preserve">This Enhanced Edition (v1.1) addresses external legal audit findings and incorporates: formal Data Minimisation analysis, operational Right to Erasure procedures, a complete Records of Processing Activities register pursuant to Article 30 GDPR, detailed Sub-processor documentation, and an expanded Retention Policy matrix.</w:t>
      </w:r>
    </w:p>
    <w:p>
      <w:pPr>
        <w:spacing w:after="120" w:line="300"/>
        <w:jc w:val="both"/>
      </w:pPr>
      <w:r>
        <w:rPr>
          <w:rFonts w:ascii="Calibri" w:cs="Calibri" w:eastAsia="Calibri" w:hAnsi="Calibri"/>
          <w:sz w:val="22"/>
          <w:szCs w:val="22"/>
        </w:rPr>
        <w:t xml:space="preserve">Following a rigorous technical and legal review, this Assessment concludes that:</w:t>
      </w:r>
    </w:p>
    <w:p>
      <w:pPr>
        <w:pStyle w:val="ListParagraph"/>
        <w:numPr>
          <w:ilvl w:val="0"/>
          <w:numId w:val="2"/>
        </w:numPr>
        <w:spacing w:after="80" w:line="280"/>
      </w:pPr>
      <w:r>
        <w:rPr>
          <w:rFonts w:ascii="Calibri" w:cs="Calibri" w:eastAsia="Calibri" w:hAnsi="Calibri"/>
          <w:sz w:val="22"/>
          <w:szCs w:val="22"/>
        </w:rPr>
        <w:t xml:space="preserve">The processing operations implement state-of-the-art technical and organisational measures </w:t>
      </w:r>
      <w:r>
        <w:rPr>
          <w:rFonts w:ascii="Calibri" w:cs="Calibri" w:eastAsia="Calibri" w:hAnsi="Calibri"/>
          <w:b/>
          <w:bCs/>
          <w:sz w:val="22"/>
          <w:szCs w:val="22"/>
        </w:rPr>
        <w:t xml:space="preserve">(Article 32 GDPR)</w:t>
      </w:r>
      <w:r>
        <w:rPr>
          <w:rFonts w:ascii="Calibri" w:cs="Calibri" w:eastAsia="Calibri" w:hAnsi="Calibri"/>
          <w:sz w:val="22"/>
          <w:szCs w:val="22"/>
        </w:rPr>
        <w:t xml:space="preserve">;</w:t>
      </w:r>
    </w:p>
    <w:p>
      <w:pPr>
        <w:pStyle w:val="ListParagraph"/>
        <w:numPr>
          <w:ilvl w:val="0"/>
          <w:numId w:val="2"/>
        </w:numPr>
        <w:spacing w:after="80" w:line="280"/>
      </w:pPr>
      <w:r>
        <w:rPr>
          <w:rFonts w:ascii="Calibri" w:cs="Calibri" w:eastAsia="Calibri" w:hAnsi="Calibri"/>
          <w:sz w:val="22"/>
          <w:szCs w:val="22"/>
        </w:rPr>
        <w:t xml:space="preserve">Residual risks to the rights and freedoms of data subjects are assessed as </w:t>
      </w:r>
      <w:r>
        <w:rPr>
          <w:rFonts w:ascii="Calibri" w:cs="Calibri" w:eastAsia="Calibri" w:hAnsi="Calibri"/>
          <w:b/>
          <w:bCs/>
          <w:color w:val="059669"/>
          <w:sz w:val="22"/>
          <w:szCs w:val="22"/>
        </w:rPr>
        <w:t xml:space="preserve">LOW</w:t>
      </w:r>
      <w:r>
        <w:rPr>
          <w:rFonts w:ascii="Calibri" w:cs="Calibri" w:eastAsia="Calibri" w:hAnsi="Calibri"/>
          <w:sz w:val="22"/>
          <w:szCs w:val="22"/>
        </w:rPr>
        <w:t xml:space="preserve"> following mitigation;</w:t>
      </w:r>
    </w:p>
    <w:p>
      <w:pPr>
        <w:pStyle w:val="ListParagraph"/>
        <w:numPr>
          <w:ilvl w:val="0"/>
          <w:numId w:val="2"/>
        </w:numPr>
        <w:spacing w:after="80" w:line="280"/>
      </w:pPr>
      <w:r>
        <w:rPr>
          <w:rFonts w:ascii="Calibri" w:cs="Calibri" w:eastAsia="Calibri" w:hAnsi="Calibri"/>
          <w:sz w:val="22"/>
          <w:szCs w:val="22"/>
        </w:rPr>
        <w:t xml:space="preserve">Prior consultation with the Supervisory Authority under Article 36 GDPR is </w:t>
      </w:r>
      <w:r>
        <w:rPr>
          <w:rFonts w:ascii="Calibri" w:cs="Calibri" w:eastAsia="Calibri" w:hAnsi="Calibri"/>
          <w:b/>
          <w:bCs/>
          <w:color w:val="059669"/>
          <w:sz w:val="22"/>
          <w:szCs w:val="22"/>
        </w:rPr>
        <w:t xml:space="preserve">not required</w:t>
      </w:r>
      <w:r>
        <w:rPr>
          <w:rFonts w:ascii="Calibri" w:cs="Calibri" w:eastAsia="Calibri" w:hAnsi="Calibri"/>
          <w:sz w:val="22"/>
          <w:szCs w:val="22"/>
        </w:rPr>
        <w:t xml:space="preserve">;</w:t>
      </w:r>
    </w:p>
    <w:p>
      <w:pPr>
        <w:pStyle w:val="ListParagraph"/>
        <w:numPr>
          <w:ilvl w:val="0"/>
          <w:numId w:val="2"/>
        </w:numPr>
        <w:spacing w:after="80" w:line="280"/>
      </w:pPr>
      <w:r>
        <w:rPr>
          <w:rFonts w:ascii="Calibri" w:cs="Calibri" w:eastAsia="Calibri" w:hAnsi="Calibri"/>
          <w:sz w:val="22"/>
          <w:szCs w:val="22"/>
        </w:rPr>
        <w:t xml:space="preserve">The Legal Vault is suitable for production use handling contracts of the highest sensitivity.</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6"/>
              <w:left w:val="single" w:color="059669" w:sz="16"/>
              <w:bottom w:val="single" w:color="059669" w:sz="4"/>
              <w:right w:val="single" w:color="059669" w:sz="4"/>
            </w:tcBorders>
            <w:shd w:fill="F1F5F9" w:val="clear"/>
            <w:tcMar>
              <w:top w:type="dxa" w:w="200"/>
              <w:left w:type="dxa" w:w="280"/>
              <w:bottom w:type="dxa" w:w="200"/>
              <w:right w:type="dxa" w:w="280"/>
            </w:tcMar>
          </w:tcPr>
          <w:p>
            <w:pPr>
              <w:spacing w:after="100"/>
            </w:pPr>
            <w:r>
              <w:rPr>
                <w:rFonts w:ascii="Calibri" w:cs="Calibri" w:eastAsia="Calibri" w:hAnsi="Calibri"/>
                <w:b/>
                <w:bCs/>
                <w:color w:val="059669"/>
                <w:sz w:val="22"/>
                <w:szCs w:val="22"/>
              </w:rPr>
              <w:t xml:space="preserve">⚖️  KEY FINDING</w:t>
            </w:r>
          </w:p>
          <w:p>
            <w:pPr>
              <w:jc w:val="both"/>
            </w:pPr>
            <w:r>
              <w:rPr>
                <w:rFonts w:ascii="Calibri" w:cs="Calibri" w:eastAsia="Calibri" w:hAnsi="Calibri"/>
                <w:color w:val="0F172A"/>
                <w:sz w:val="20"/>
                <w:szCs w:val="20"/>
              </w:rPr>
              <w:t xml:space="preserve">To compromise a single encrypted contract stored within Next2View Legal Vault, a hostile actor would require the simultaneous breach of FOUR independent security perimeters: (i) Azure Key Vault Customer-Managed Keys, (ii) JWT RS256 signing keys, (iii) PostgreSQL database credentials, and (iv) the user's personal MFA seed. The probability of such a compound breach is assessed as NEGLIGIBLE under current threat models.</w:t>
            </w:r>
          </w:p>
        </w:tc>
      </w:tr>
    </w:tbl>
    <w:p>
      <w:r>
        <w:br w:type="page"/>
      </w:r>
    </w:p>
    <w:p>
      <w:pPr>
        <w:pStyle w:val="Heading1"/>
        <w:spacing w:after="240" w:before="480"/>
      </w:pPr>
      <w:r>
        <w:rPr>
          <w:rFonts w:ascii="Calibri" w:cs="Calibri" w:eastAsia="Calibri" w:hAnsi="Calibri"/>
          <w:b/>
          <w:bCs/>
          <w:color w:val="1E3A8A"/>
          <w:sz w:val="32"/>
          <w:szCs w:val="32"/>
        </w:rPr>
        <w:t xml:space="preserve">2. Scope and Nature of Processing</w:t>
      </w:r>
    </w:p>
    <w:p>
      <w:pPr>
        <w:pStyle w:val="Heading2"/>
        <w:spacing w:after="180" w:before="360"/>
      </w:pPr>
      <w:r>
        <w:rPr>
          <w:rFonts w:ascii="Calibri" w:cs="Calibri" w:eastAsia="Calibri" w:hAnsi="Calibri"/>
          <w:b/>
          <w:bCs/>
          <w:color w:val="0F172A"/>
          <w:sz w:val="26"/>
          <w:szCs w:val="26"/>
        </w:rPr>
        <w:t xml:space="preserve">2.1 Controller and Processor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Data Controller</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Next2me Group (collectively the group companies including Polaris Financial Services, Crossworld Marine Services, WiMAS Training Center, Varship Management, Oceansoft)</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Data Processor (Infrastructure)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Microsoft Ireland Operations Limited (Azure) — GDPR-compliant Data Processing Agreement executed (Microsoft Product Terms, Data Protection Addendum)</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Processing Location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Azure North Europe (Dublin, Ireland) — Primary
Azure West Europe (Amsterdam, Netherlands) — Disaster Recovery</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Cross-Border Transfer</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59669"/>
                <w:sz w:val="20"/>
                <w:szCs w:val="20"/>
              </w:rPr>
              <w:t xml:space="preserve">NONE — All data is processed and stored exclusively within the European Economic Area. No Standard Contractual Clauses (SCCs) required as no third-country transfer occurs.</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Role Designation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Next2me Group = Controller (determines purposes and means); Microsoft Ireland = Processor (processes under documented instructions only, per Article 28 GDPR)</w:t>
            </w:r>
          </w:p>
        </w:tc>
      </w:tr>
    </w:tbl>
    <w:p>
      <w:pPr>
        <w:spacing w:before="240"/>
      </w:pPr>
    </w:p>
    <w:p>
      <w:pPr>
        <w:pStyle w:val="Heading2"/>
        <w:spacing w:after="180" w:before="360"/>
      </w:pPr>
      <w:r>
        <w:rPr>
          <w:rFonts w:ascii="Calibri" w:cs="Calibri" w:eastAsia="Calibri" w:hAnsi="Calibri"/>
          <w:b/>
          <w:bCs/>
          <w:color w:val="0F172A"/>
          <w:sz w:val="26"/>
          <w:szCs w:val="26"/>
        </w:rPr>
        <w:t xml:space="preserve">2.2 Categories of Data Subjects</w:t>
      </w:r>
    </w:p>
    <w:p>
      <w:pPr>
        <w:spacing w:after="120" w:line="300"/>
        <w:jc w:val="both"/>
      </w:pPr>
      <w:r>
        <w:rPr>
          <w:rFonts w:ascii="Calibri" w:cs="Calibri" w:eastAsia="Calibri" w:hAnsi="Calibri"/>
          <w:sz w:val="22"/>
          <w:szCs w:val="22"/>
        </w:rPr>
        <w:t xml:space="preserve">The Next2View Legal Vault processes personal data of the following categories of data subjects:</w:t>
      </w:r>
    </w:p>
    <w:p>
      <w:pPr>
        <w:pStyle w:val="ListParagraph"/>
        <w:numPr>
          <w:ilvl w:val="0"/>
          <w:numId w:val="2"/>
        </w:numPr>
        <w:spacing w:after="80" w:line="280"/>
      </w:pPr>
      <w:r>
        <w:rPr>
          <w:rFonts w:ascii="Calibri" w:cs="Calibri" w:eastAsia="Calibri" w:hAnsi="Calibri"/>
          <w:sz w:val="22"/>
          <w:szCs w:val="22"/>
        </w:rPr>
        <w:t xml:space="preserve">Directors, officers, shareholders, and beneficial owners of group companies and their counterparties;</w:t>
      </w:r>
    </w:p>
    <w:p>
      <w:pPr>
        <w:pStyle w:val="ListParagraph"/>
        <w:numPr>
          <w:ilvl w:val="0"/>
          <w:numId w:val="2"/>
        </w:numPr>
        <w:spacing w:after="80" w:line="280"/>
      </w:pPr>
      <w:r>
        <w:rPr>
          <w:rFonts w:ascii="Calibri" w:cs="Calibri" w:eastAsia="Calibri" w:hAnsi="Calibri"/>
          <w:sz w:val="22"/>
          <w:szCs w:val="22"/>
        </w:rPr>
        <w:t xml:space="preserve">Authorised signatories, legal representatives, and contracting agents;</w:t>
      </w:r>
    </w:p>
    <w:p>
      <w:pPr>
        <w:pStyle w:val="ListParagraph"/>
        <w:numPr>
          <w:ilvl w:val="0"/>
          <w:numId w:val="2"/>
        </w:numPr>
        <w:spacing w:after="80" w:line="280"/>
      </w:pPr>
      <w:r>
        <w:rPr>
          <w:rFonts w:ascii="Calibri" w:cs="Calibri" w:eastAsia="Calibri" w:hAnsi="Calibri"/>
          <w:sz w:val="22"/>
          <w:szCs w:val="22"/>
        </w:rPr>
        <w:t xml:space="preserve">Employees whose personal data may appear within contractual documentation (e.g., employment agreements, consultancy contracts);</w:t>
      </w:r>
    </w:p>
    <w:p>
      <w:pPr>
        <w:pStyle w:val="ListParagraph"/>
        <w:numPr>
          <w:ilvl w:val="0"/>
          <w:numId w:val="2"/>
        </w:numPr>
        <w:spacing w:after="80" w:line="280"/>
      </w:pPr>
      <w:r>
        <w:rPr>
          <w:rFonts w:ascii="Calibri" w:cs="Calibri" w:eastAsia="Calibri" w:hAnsi="Calibri"/>
          <w:sz w:val="22"/>
          <w:szCs w:val="22"/>
        </w:rPr>
        <w:t xml:space="preserve">Third parties identified within contracts as beneficiaries, guarantors, or otherwise contractually relevant;</w:t>
      </w:r>
    </w:p>
    <w:p>
      <w:pPr>
        <w:pStyle w:val="ListParagraph"/>
        <w:numPr>
          <w:ilvl w:val="0"/>
          <w:numId w:val="2"/>
        </w:numPr>
        <w:spacing w:after="80" w:line="280"/>
      </w:pPr>
      <w:r>
        <w:rPr>
          <w:rFonts w:ascii="Calibri" w:cs="Calibri" w:eastAsia="Calibri" w:hAnsi="Calibri"/>
          <w:sz w:val="22"/>
          <w:szCs w:val="22"/>
        </w:rPr>
        <w:t xml:space="preserve">Internal platform users (Next2me Group employees with access credentials).</w:t>
      </w:r>
    </w:p>
    <w:p>
      <w:pPr>
        <w:pStyle w:val="Heading2"/>
        <w:spacing w:after="180" w:before="360"/>
      </w:pPr>
      <w:r>
        <w:rPr>
          <w:rFonts w:ascii="Calibri" w:cs="Calibri" w:eastAsia="Calibri" w:hAnsi="Calibri"/>
          <w:b/>
          <w:bCs/>
          <w:color w:val="0F172A"/>
          <w:sz w:val="26"/>
          <w:szCs w:val="26"/>
        </w:rPr>
        <w:t xml:space="preserve">2.3 Categories of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Category</w:t>
            </w:r>
          </w:p>
        </w:tc>
        <w:tc>
          <w:tcPr>
            <w:tcW w:type="dxa" w:w="468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Examples</w:t>
            </w:r>
          </w:p>
        </w:tc>
        <w:tc>
          <w:tcPr>
            <w:tcW w:type="dxa" w:w="15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Volume</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Identity Data</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Full names, titles, signatures, passport/ID numbers, tax identification numbers (VAT/AFM)</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HIGH</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Contact Data</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Business addresses, email addresses, telephone numbers</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MEDIUM</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Financial Data</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Bank account numbers (IBAN), financial terms, consideration amounts, payment schedules</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MEDIUM</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Professional Data</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Employment details, professional qualifications, role within counterparty organisation</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LOW</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Platform User Data</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Email, BCrypt-hashed passwords, TOTP secrets, role, permission flags, audit events</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LOW</w:t>
            </w:r>
          </w:p>
        </w:tc>
      </w:tr>
      <w:tr>
        <w:tc>
          <w:tcPr>
            <w:tcW w:type="dxa" w:w="3120"/>
            <w:tcBorders>
              <w:top w:val="single" w:color="CBD5E1" w:sz="4"/>
              <w:left w:val="single" w:color="CBD5E1" w:sz="4"/>
              <w:bottom w:val="single" w:color="CBD5E1" w:sz="4"/>
              <w:right w:val="single" w:color="CBD5E1" w:sz="4"/>
            </w:tcBorders>
            <w:shd w:fill="FEF2F2" w:val="clear"/>
            <w:tcMar>
              <w:top w:type="dxa" w:w="100"/>
              <w:left w:type="dxa" w:w="140"/>
              <w:bottom w:type="dxa" w:w="100"/>
              <w:right w:type="dxa" w:w="140"/>
            </w:tcMar>
          </w:tcPr>
          <w:p>
            <w:pPr>
              <w:jc w:val="left"/>
            </w:pPr>
            <w:r>
              <w:rPr>
                <w:rFonts w:ascii="Calibri" w:cs="Calibri" w:eastAsia="Calibri" w:hAnsi="Calibri"/>
                <w:b/>
                <w:bCs/>
                <w:color w:val="DC2626"/>
                <w:sz w:val="20"/>
                <w:szCs w:val="20"/>
              </w:rPr>
              <w:t xml:space="preserve">Special Categories (Art. 9)</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DC2626"/>
                <w:sz w:val="20"/>
                <w:szCs w:val="20"/>
              </w:rPr>
              <w:t xml:space="preserve">NONE — The Legal Vault is NOT designed for and does NOT process data falling under Article 9 GDPR (racial/ethnic origin, political opinions, religious beliefs, health data, etc.)</w:t>
            </w:r>
          </w:p>
        </w:tc>
        <w:tc>
          <w:tcPr>
            <w:tcW w:type="dxa" w:w="1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N/A</w:t>
            </w:r>
          </w:p>
        </w:tc>
      </w:tr>
    </w:tbl>
    <w:p>
      <w:r>
        <w:br w:type="page"/>
      </w:r>
    </w:p>
    <w:p>
      <w:pPr>
        <w:pStyle w:val="Heading2"/>
        <w:spacing w:after="180" w:before="360"/>
      </w:pPr>
      <w:r>
        <w:rPr>
          <w:rFonts w:ascii="Calibri" w:cs="Calibri" w:eastAsia="Calibri" w:hAnsi="Calibri"/>
          <w:b/>
          <w:bCs/>
          <w:color w:val="0F172A"/>
          <w:sz w:val="26"/>
          <w:szCs w:val="26"/>
        </w:rPr>
        <w:t xml:space="preserve">2.5 Sub-Processor Register</w:t>
      </w:r>
    </w:p>
    <w:p>
      <w:pPr>
        <w:spacing w:after="120" w:line="300"/>
        <w:jc w:val="both"/>
      </w:pPr>
      <w:r>
        <w:rPr>
          <w:rFonts w:ascii="Calibri" w:cs="Calibri" w:eastAsia="Calibri" w:hAnsi="Calibri"/>
          <w:sz w:val="22"/>
          <w:szCs w:val="22"/>
        </w:rPr>
        <w:t xml:space="preserve">In accordance with Article 28(2) GDPR, the following sub-processors have been engaged (directly or via Microsoft Azure as prime processor). All sub-processors are bound by Data Processing Agreements containing provisions equivalent to those imposed on the primary processor.</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Sub-Processor</w:t>
            </w:r>
          </w:p>
        </w:tc>
        <w:tc>
          <w:tcPr>
            <w:tcW w:type="dxa" w:w="18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Location</w:t>
            </w:r>
          </w:p>
        </w:tc>
        <w:tc>
          <w:tcPr>
            <w:tcW w:type="dxa" w:w="24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Service</w:t>
            </w:r>
          </w:p>
        </w:tc>
        <w:tc>
          <w:tcPr>
            <w:tcW w:type="dxa" w:w="27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Transfer Mechanism</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Microsoft Ireland Operations Ltd.</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Ireland (EEA)</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Cloud infrastructure (Azure)</w:t>
            </w:r>
          </w:p>
        </w:tc>
        <w:tc>
          <w:tcPr>
            <w:tcW w:type="dxa" w:w="2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59669"/>
                <w:sz w:val="20"/>
                <w:szCs w:val="20"/>
              </w:rPr>
              <w:t xml:space="preserve">Intra-EEA — no SCCs required</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Anthropic Ireland Ltd.</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Ireland (EEA)</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AI-assisted contract summarisation (optional feature)</w:t>
            </w:r>
          </w:p>
        </w:tc>
        <w:tc>
          <w:tcPr>
            <w:tcW w:type="dxa" w:w="2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59669"/>
                <w:sz w:val="20"/>
                <w:szCs w:val="20"/>
              </w:rPr>
              <w:t xml:space="preserve">Intra-EEA — no SCCs required; ZDR (Zero Data Retention) enforced</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GitHub Inc. (Microsoft)</w:t>
            </w:r>
          </w:p>
        </w:tc>
        <w:tc>
          <w:tcPr>
            <w:tcW w:type="dxa" w:w="1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USA</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Source code hosting, CI/CD (source code only — NO personal data)</w:t>
            </w:r>
          </w:p>
        </w:tc>
        <w:tc>
          <w:tcPr>
            <w:tcW w:type="dxa" w:w="2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Not applicable — no personal data transferred</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6"/>
              <w:left w:val="single" w:color="059669" w:sz="16"/>
              <w:bottom w:val="single" w:color="059669" w:sz="4"/>
              <w:right w:val="single" w:color="059669" w:sz="4"/>
            </w:tcBorders>
            <w:shd w:fill="F1F5F9" w:val="clear"/>
            <w:tcMar>
              <w:top w:type="dxa" w:w="200"/>
              <w:left w:type="dxa" w:w="280"/>
              <w:bottom w:type="dxa" w:w="200"/>
              <w:right w:type="dxa" w:w="280"/>
            </w:tcMar>
          </w:tcPr>
          <w:p>
            <w:pPr>
              <w:spacing w:after="100"/>
            </w:pPr>
            <w:r>
              <w:rPr>
                <w:rFonts w:ascii="Calibri" w:cs="Calibri" w:eastAsia="Calibri" w:hAnsi="Calibri"/>
                <w:b/>
                <w:bCs/>
                <w:color w:val="059669"/>
                <w:sz w:val="22"/>
                <w:szCs w:val="22"/>
              </w:rPr>
              <w:t xml:space="preserve">🌍  CROSS-BORDER TRANSFER STATEMENT</w:t>
            </w:r>
          </w:p>
          <w:p>
            <w:pPr>
              <w:jc w:val="both"/>
            </w:pPr>
            <w:r>
              <w:rPr>
                <w:rFonts w:ascii="Calibri" w:cs="Calibri" w:eastAsia="Calibri" w:hAnsi="Calibri"/>
                <w:color w:val="0F172A"/>
                <w:sz w:val="20"/>
                <w:szCs w:val="20"/>
              </w:rPr>
              <w:t xml:space="preserve">No personal data processed within the Next2View Legal Vault is transferred outside the European Economic Area. All production infrastructure, processing, and storage is located in Ireland and the Netherlands. GitHub is used only for source code and CI/CD pipeline orchestration — no personal data, contract content, or customer data is transmitted to or stored on GitHub infrastructure. Accordingly, the requirements of Chapter V GDPR (Articles 44–50) are not engaged.</w:t>
            </w:r>
          </w:p>
        </w:tc>
      </w:tr>
    </w:tbl>
    <w:p>
      <w:r>
        <w:br w:type="page"/>
      </w:r>
    </w:p>
    <w:p>
      <w:pPr>
        <w:pStyle w:val="Heading1"/>
        <w:spacing w:after="240" w:before="480"/>
      </w:pPr>
      <w:r>
        <w:rPr>
          <w:rFonts w:ascii="Calibri" w:cs="Calibri" w:eastAsia="Calibri" w:hAnsi="Calibri"/>
          <w:b/>
          <w:bCs/>
          <w:color w:val="1E3A8A"/>
          <w:sz w:val="32"/>
          <w:szCs w:val="32"/>
        </w:rPr>
        <w:t xml:space="preserve">3. Lawful Basis for Processing</w:t>
      </w:r>
    </w:p>
    <w:p>
      <w:pPr>
        <w:spacing w:after="120" w:line="300"/>
        <w:jc w:val="both"/>
      </w:pPr>
      <w:r>
        <w:rPr>
          <w:rFonts w:ascii="Calibri" w:cs="Calibri" w:eastAsia="Calibri" w:hAnsi="Calibri"/>
          <w:sz w:val="22"/>
          <w:szCs w:val="22"/>
        </w:rPr>
        <w:t xml:space="preserve">The Data Controller has identified the following lawful bases pursuant to Article 6(1) GDPR, each of which is documented, justified, and subject to periodic review:</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Article 6 Basis</w:t>
            </w:r>
          </w:p>
        </w:tc>
        <w:tc>
          <w:tcPr>
            <w:tcW w:type="dxa" w:w="35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Applicable Processing</w:t>
            </w:r>
          </w:p>
        </w:tc>
        <w:tc>
          <w:tcPr>
            <w:tcW w:type="dxa" w:w="38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Justification</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6(1)(b)
Contract Performance</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Primary storage, retrieval, and administration of executed contracts</w:t>
            </w:r>
          </w:p>
        </w:tc>
        <w:tc>
          <w:tcPr>
            <w:tcW w:type="dxa" w:w="3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Processing is strictly necessary for the performance of contracts to which the data subject is a party, or for pre-contractual measures taken at the data subject's request.</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6(1)(c)
Legal Obligation</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Long-term retention of commercial documentation</w:t>
            </w:r>
          </w:p>
        </w:tc>
        <w:tc>
          <w:tcPr>
            <w:tcW w:type="dxa" w:w="3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Retention required under Greek Law 4308/2014 (accounting records — 5 years), Maritime Code (maritime contracts — 10 years), and tax legislation.</w:t>
            </w:r>
          </w:p>
        </w:tc>
      </w:tr>
      <w:tr>
        <w:tc>
          <w:tcPr>
            <w:tcW w:type="dxa" w:w="20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6(1)(f)
Legitimate Interests</w:t>
            </w:r>
          </w:p>
        </w:tc>
        <w:tc>
          <w:tcPr>
            <w:tcW w:type="dxa" w:w="3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Audit logging, security monitoring, fraud prevention</w:t>
            </w:r>
          </w:p>
        </w:tc>
        <w:tc>
          <w:tcPr>
            <w:tcW w:type="dxa" w:w="38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The Controller's legitimate interest in maintaining a verifiable audit trail and protecting against unauthorised access is not overridden by the interests or fundamental rights of data subjects, given the strong security guarantees described herein.</w:t>
            </w:r>
          </w:p>
        </w:tc>
      </w:tr>
    </w:tbl>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6"/>
              <w:left w:val="single" w:color="1E3A8A" w:sz="16"/>
              <w:bottom w:val="single" w:color="1E3A8A" w:sz="4"/>
              <w:right w:val="single" w:color="1E3A8A" w:sz="4"/>
            </w:tcBorders>
            <w:shd w:fill="F1F5F9" w:val="clear"/>
            <w:tcMar>
              <w:top w:type="dxa" w:w="200"/>
              <w:left w:type="dxa" w:w="280"/>
              <w:bottom w:type="dxa" w:w="200"/>
              <w:right w:type="dxa" w:w="280"/>
            </w:tcMar>
          </w:tcPr>
          <w:p>
            <w:pPr>
              <w:spacing w:after="100"/>
            </w:pPr>
            <w:r>
              <w:rPr>
                <w:rFonts w:ascii="Calibri" w:cs="Calibri" w:eastAsia="Calibri" w:hAnsi="Calibri"/>
                <w:b/>
                <w:bCs/>
                <w:color w:val="1E3A8A"/>
                <w:sz w:val="22"/>
                <w:szCs w:val="22"/>
              </w:rPr>
              <w:t xml:space="preserve">ℹ️  NOTE ON CONSENT</w:t>
            </w:r>
          </w:p>
          <w:p>
            <w:pPr>
              <w:jc w:val="both"/>
            </w:pPr>
            <w:r>
              <w:rPr>
                <w:rFonts w:ascii="Calibri" w:cs="Calibri" w:eastAsia="Calibri" w:hAnsi="Calibri"/>
                <w:color w:val="0F172A"/>
                <w:sz w:val="20"/>
                <w:szCs w:val="20"/>
              </w:rPr>
              <w:t xml:space="preserve">Consent (Article 6(1)(a) GDPR) is NOT relied upon as a legal basis for core processing activities in the Legal Vault. This is a deliberate architectural decision: consent would be inappropriate in the commercial contract context where processing is necessary for contract performance (6(1)(b)) or mandated by law (6(1)(c)). The Controller has carefully avoided reliance on consent to eliminate risks associated with consent withdrawal.</w:t>
            </w:r>
          </w:p>
        </w:tc>
      </w:tr>
    </w:tbl>
    <w:p>
      <w:r>
        <w:br w:type="page"/>
      </w:r>
    </w:p>
    <w:p>
      <w:pPr>
        <w:pStyle w:val="Heading1"/>
        <w:spacing w:after="240" w:before="480"/>
      </w:pPr>
      <w:r>
        <w:rPr>
          <w:rFonts w:ascii="Calibri" w:cs="Calibri" w:eastAsia="Calibri" w:hAnsi="Calibri"/>
          <w:b/>
          <w:bCs/>
          <w:color w:val="1E3A8A"/>
          <w:sz w:val="32"/>
          <w:szCs w:val="32"/>
        </w:rPr>
        <w:t xml:space="preserve">4. Data Minimisation &amp; Purpose Limitation</w:t>
      </w:r>
    </w:p>
    <w:p>
      <w:pPr>
        <w:spacing w:after="120" w:line="300"/>
        <w:jc w:val="both"/>
      </w:pPr>
      <w:r>
        <w:rPr>
          <w:rFonts w:ascii="Calibri" w:cs="Calibri" w:eastAsia="Calibri" w:hAnsi="Calibri"/>
          <w:sz w:val="22"/>
          <w:szCs w:val="22"/>
        </w:rPr>
        <w:t xml:space="preserve">Pursuant to Article 5(1)(c) GDPR, the Controller processes only data that is adequate, relevant and limited to what is necessary in relation to the purposes for which it is processed. The following analysis documents, for each category of data, the specific purpose for which it is collected and the justification for its necessity.</w:t>
      </w:r>
    </w:p>
    <w:p>
      <w:pPr>
        <w:pStyle w:val="Heading2"/>
        <w:spacing w:after="180" w:before="360"/>
      </w:pPr>
      <w:r>
        <w:rPr>
          <w:rFonts w:ascii="Calibri" w:cs="Calibri" w:eastAsia="Calibri" w:hAnsi="Calibri"/>
          <w:b/>
          <w:bCs/>
          <w:color w:val="0F172A"/>
          <w:sz w:val="26"/>
          <w:szCs w:val="26"/>
        </w:rPr>
        <w:t xml:space="preserve">4.1 Platform User Data (Necessary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Field</w:t>
            </w:r>
          </w:p>
        </w:tc>
        <w:tc>
          <w:tcPr>
            <w:tcW w:type="dxa" w:w="26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Purpose</w:t>
            </w:r>
          </w:p>
        </w:tc>
        <w:tc>
          <w:tcPr>
            <w:tcW w:type="dxa" w:w="43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Necessity Justification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email</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Authentication identifier</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Unique login identifier; enables password reset notifications; mandatory for platform operation.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fullName</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User interface personalisation + audit attribution</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Displayed in UI and attributed to audit log events. Required for accountability.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passwordHash (BCrypt)</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Authentication credential</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One-way BCrypt hash with cost factor 12 + unique salt. Original password is NEVER stored.</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mfaSecret</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TOTP generation (Article 32 security)</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Minimal 20-byte secret; only populated if user activates MFA; required for MFA verification.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role, permissions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Authorisation (access control)</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Minimal RBAC flags. No more granular than necessary for access decisions.</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companyId</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Scope enforcement</w:t>
            </w:r>
          </w:p>
        </w:tc>
        <w:tc>
          <w:tcPr>
            <w:tcW w:type="dxa" w:w="4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Determines which company's data the user may access. Essential for multi-tenant isolation.</w:t>
            </w:r>
          </w:p>
        </w:tc>
      </w:tr>
    </w:tbl>
    <w:p>
      <w:pPr>
        <w:spacing w:before="240"/>
      </w:pPr>
    </w:p>
    <w:p>
      <w:pPr>
        <w:pStyle w:val="Heading2"/>
        <w:spacing w:after="180" w:before="360"/>
      </w:pPr>
      <w:r>
        <w:rPr>
          <w:rFonts w:ascii="Calibri" w:cs="Calibri" w:eastAsia="Calibri" w:hAnsi="Calibri"/>
          <w:b/>
          <w:bCs/>
          <w:color w:val="0F172A"/>
          <w:sz w:val="26"/>
          <w:szCs w:val="26"/>
        </w:rPr>
        <w:t xml:space="preserve">4.2 Contract Data (Minimisation Approach)</w:t>
      </w:r>
    </w:p>
    <w:p>
      <w:pPr>
        <w:spacing w:after="120" w:line="300"/>
        <w:jc w:val="both"/>
      </w:pPr>
      <w:r>
        <w:rPr>
          <w:rFonts w:ascii="Calibri" w:cs="Calibri" w:eastAsia="Calibri" w:hAnsi="Calibri"/>
          <w:sz w:val="22"/>
          <w:szCs w:val="22"/>
        </w:rPr>
        <w:t xml:space="preserve">Contract content is supplied by the data subjects themselves (as parties to the contracts) or by authorised representatives. The Controller does not extract, parse, or structure personal data from contract content beyond the following metadata fields required for storage and retrieval:</w:t>
      </w:r>
    </w:p>
    <w:p>
      <w:pPr>
        <w:pStyle w:val="ListParagraph"/>
        <w:numPr>
          <w:ilvl w:val="0"/>
          <w:numId w:val="2"/>
        </w:numPr>
        <w:spacing w:after="80" w:line="280"/>
      </w:pPr>
      <w:r>
        <w:rPr>
          <w:rFonts w:ascii="Calibri" w:cs="Calibri" w:eastAsia="Calibri" w:hAnsi="Calibri"/>
          <w:sz w:val="22"/>
          <w:szCs w:val="22"/>
        </w:rPr>
        <w:t xml:space="preserve">Contract filename (provided by uploader);</w:t>
      </w:r>
    </w:p>
    <w:p>
      <w:pPr>
        <w:pStyle w:val="ListParagraph"/>
        <w:numPr>
          <w:ilvl w:val="0"/>
          <w:numId w:val="2"/>
        </w:numPr>
        <w:spacing w:after="80" w:line="280"/>
      </w:pPr>
      <w:r>
        <w:rPr>
          <w:rFonts w:ascii="Calibri" w:cs="Calibri" w:eastAsia="Calibri" w:hAnsi="Calibri"/>
          <w:sz w:val="22"/>
          <w:szCs w:val="22"/>
        </w:rPr>
        <w:t xml:space="preserve">File size and content-type (technical metadata);</w:t>
      </w:r>
    </w:p>
    <w:p>
      <w:pPr>
        <w:pStyle w:val="ListParagraph"/>
        <w:numPr>
          <w:ilvl w:val="0"/>
          <w:numId w:val="2"/>
        </w:numPr>
        <w:spacing w:after="80" w:line="280"/>
      </w:pPr>
      <w:r>
        <w:rPr>
          <w:rFonts w:ascii="Calibri" w:cs="Calibri" w:eastAsia="Calibri" w:hAnsi="Calibri"/>
          <w:sz w:val="22"/>
          <w:szCs w:val="22"/>
        </w:rPr>
        <w:t xml:space="preserve">SHA-256 hash (for integrity verification and deduplication);</w:t>
      </w:r>
    </w:p>
    <w:p>
      <w:pPr>
        <w:pStyle w:val="ListParagraph"/>
        <w:numPr>
          <w:ilvl w:val="0"/>
          <w:numId w:val="2"/>
        </w:numPr>
        <w:spacing w:after="80" w:line="280"/>
      </w:pPr>
      <w:r>
        <w:rPr>
          <w:rFonts w:ascii="Calibri" w:cs="Calibri" w:eastAsia="Calibri" w:hAnsi="Calibri"/>
          <w:sz w:val="22"/>
          <w:szCs w:val="22"/>
        </w:rPr>
        <w:t xml:space="preserve">Upload timestamp and uploader user ID (for audit trail);</w:t>
      </w:r>
    </w:p>
    <w:p>
      <w:pPr>
        <w:pStyle w:val="ListParagraph"/>
        <w:numPr>
          <w:ilvl w:val="0"/>
          <w:numId w:val="2"/>
        </w:numPr>
        <w:spacing w:after="80" w:line="280"/>
      </w:pPr>
      <w:r>
        <w:rPr>
          <w:rFonts w:ascii="Calibri" w:cs="Calibri" w:eastAsia="Calibri" w:hAnsi="Calibri"/>
          <w:sz w:val="22"/>
          <w:szCs w:val="22"/>
        </w:rPr>
        <w:t xml:space="preserve">Associated project/company ID (for access scoping).</w:t>
      </w:r>
    </w:p>
    <w:p>
      <w:pPr>
        <w:spacing w:after="120" w:line="300"/>
        <w:jc w:val="both"/>
      </w:pPr>
      <w:r>
        <w:rPr>
          <w:rFonts w:ascii="Calibri" w:cs="Calibri" w:eastAsia="Calibri" w:hAnsi="Calibri"/>
          <w:sz w:val="22"/>
          <w:szCs w:val="22"/>
        </w:rPr>
        <w:t xml:space="preserve">The Controller expressly does NOT perform automated extraction of personal data from contract body content. An optional AI summarisation feature exists but (a) is opt-in per document, (b) processes only a summary, (c) operates under Zero Data Retention (ZDR) with the AI sub-processor.</w:t>
      </w:r>
    </w:p>
    <w:p>
      <w:pPr>
        <w:pStyle w:val="Heading2"/>
        <w:spacing w:after="180" w:before="360"/>
      </w:pPr>
      <w:r>
        <w:rPr>
          <w:rFonts w:ascii="Calibri" w:cs="Calibri" w:eastAsia="Calibri" w:hAnsi="Calibri"/>
          <w:b/>
          <w:bCs/>
          <w:color w:val="0F172A"/>
          <w:sz w:val="26"/>
          <w:szCs w:val="26"/>
        </w:rPr>
        <w:t xml:space="preserve">4.3 Audit Log Fields (Proportionality)</w:t>
      </w:r>
    </w:p>
    <w:p>
      <w:pPr>
        <w:spacing w:after="120" w:line="300"/>
        <w:jc w:val="both"/>
      </w:pPr>
      <w:r>
        <w:rPr>
          <w:rFonts w:ascii="Calibri" w:cs="Calibri" w:eastAsia="Calibri" w:hAnsi="Calibri"/>
          <w:sz w:val="22"/>
          <w:szCs w:val="22"/>
        </w:rPr>
        <w:t xml:space="preserve">Each audit log entry contains the minimum information necessary for accountability: user ID (UUID, not email), timestamp, action code, target resource ID, and source IP address. Request bodies and personal data are NOT logged. Passwords, tokens, and TOTP codes are never written to any log.</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6"/>
              <w:left w:val="single" w:color="059669" w:sz="16"/>
              <w:bottom w:val="single" w:color="059669" w:sz="4"/>
              <w:right w:val="single" w:color="059669" w:sz="4"/>
            </w:tcBorders>
            <w:shd w:fill="F1F5F9" w:val="clear"/>
            <w:tcMar>
              <w:top w:type="dxa" w:w="200"/>
              <w:left w:type="dxa" w:w="280"/>
              <w:bottom w:type="dxa" w:w="200"/>
              <w:right w:type="dxa" w:w="280"/>
            </w:tcMar>
          </w:tcPr>
          <w:p>
            <w:pPr>
              <w:spacing w:after="100"/>
            </w:pPr>
            <w:r>
              <w:rPr>
                <w:rFonts w:ascii="Calibri" w:cs="Calibri" w:eastAsia="Calibri" w:hAnsi="Calibri"/>
                <w:b/>
                <w:bCs/>
                <w:color w:val="059669"/>
                <w:sz w:val="22"/>
                <w:szCs w:val="22"/>
              </w:rPr>
              <w:t xml:space="preserve">✅  MINIMISATION CONFIRMATION</w:t>
            </w:r>
          </w:p>
          <w:p>
            <w:pPr>
              <w:jc w:val="both"/>
            </w:pPr>
            <w:r>
              <w:rPr>
                <w:rFonts w:ascii="Calibri" w:cs="Calibri" w:eastAsia="Calibri" w:hAnsi="Calibri"/>
                <w:color w:val="0F172A"/>
                <w:sz w:val="20"/>
                <w:szCs w:val="20"/>
              </w:rPr>
              <w:t xml:space="preserve">The Data Controller confirms that no field is collected, stored, or processed that is not strictly necessary for one of the documented purposes. Periodic review (at minimum annually, and upon each material feature change) validates ongoing compliance with Article 5(1)(c) GDPR.</w:t>
            </w:r>
          </w:p>
        </w:tc>
      </w:tr>
    </w:tbl>
    <w:p>
      <w:r>
        <w:br w:type="page"/>
      </w:r>
    </w:p>
    <w:p>
      <w:pPr>
        <w:pStyle w:val="Heading1"/>
        <w:spacing w:after="240" w:before="480"/>
      </w:pPr>
      <w:r>
        <w:rPr>
          <w:rFonts w:ascii="Calibri" w:cs="Calibri" w:eastAsia="Calibri" w:hAnsi="Calibri"/>
          <w:b/>
          <w:bCs/>
          <w:color w:val="1E3A8A"/>
          <w:sz w:val="32"/>
          <w:szCs w:val="32"/>
        </w:rPr>
        <w:t xml:space="preserve">5. Technical Security Architecture</w:t>
      </w:r>
    </w:p>
    <w:p>
      <w:pPr>
        <w:spacing w:after="120" w:line="300"/>
        <w:jc w:val="both"/>
      </w:pPr>
      <w:r>
        <w:rPr>
          <w:rFonts w:ascii="Calibri" w:cs="Calibri" w:eastAsia="Calibri" w:hAnsi="Calibri"/>
          <w:sz w:val="22"/>
          <w:szCs w:val="22"/>
        </w:rPr>
        <w:t xml:space="preserve">The Next2View Legal Vault implements a five-layer defence-in-depth security architecture. A dedicated Technical Security Architecture document (v1.0, 24 April 2026) provides comprehensive specifications; this section provides the summary necessary for data protection assessment purposes.</w:t>
      </w:r>
    </w:p>
    <w:p>
      <w:pPr>
        <w:pStyle w:val="Heading2"/>
        <w:spacing w:after="180" w:before="360"/>
      </w:pPr>
      <w:r>
        <w:rPr>
          <w:rFonts w:ascii="Calibri" w:cs="Calibri" w:eastAsia="Calibri" w:hAnsi="Calibri"/>
          <w:b/>
          <w:bCs/>
          <w:color w:val="0F172A"/>
          <w:sz w:val="26"/>
          <w:szCs w:val="26"/>
        </w:rPr>
        <w:t xml:space="preserve">5.1 Five-Layer Defence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3200"/>
        <w:gridCol w:w="2560"/>
      </w:tblGrid>
      <w:tr>
        <w:tc>
          <w:tcPr>
            <w:tcW w:type="dxa" w:w="10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Layer</w:t>
            </w:r>
          </w:p>
        </w:tc>
        <w:tc>
          <w:tcPr>
            <w:tcW w:type="dxa" w:w="26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Control</w:t>
            </w:r>
          </w:p>
        </w:tc>
        <w:tc>
          <w:tcPr>
            <w:tcW w:type="dxa" w:w="32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Implementation</w:t>
            </w:r>
          </w:p>
        </w:tc>
        <w:tc>
          <w:tcPr>
            <w:tcW w:type="dxa" w:w="25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Protects Against</w:t>
            </w:r>
          </w:p>
        </w:tc>
      </w:tr>
      <w:tr>
        <w:tc>
          <w:tcPr>
            <w:tcW w:type="dxa" w:w="1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jc w:val="center"/>
            </w:pPr>
            <w:r>
              <w:rPr>
                <w:rFonts w:ascii="Calibri" w:cs="Calibri" w:eastAsia="Calibri" w:hAnsi="Calibri"/>
                <w:b/>
                <w:bCs/>
                <w:color w:val="1E3A8A"/>
                <w:sz w:val="28"/>
                <w:szCs w:val="28"/>
              </w:rPr>
              <w:t xml:space="preserve">5</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MFA Enforcement</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TOTP (RFC 6238); mandatory for legal; JWT claim enforcement</w:t>
            </w:r>
          </w:p>
        </w:tc>
        <w:tc>
          <w:tcPr>
            <w:tcW w:type="dxa" w:w="2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Stolen tokens, password compromise</w:t>
            </w:r>
          </w:p>
        </w:tc>
      </w:tr>
      <w:tr>
        <w:tc>
          <w:tcPr>
            <w:tcW w:type="dxa" w:w="1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jc w:val="center"/>
            </w:pPr>
            <w:r>
              <w:rPr>
                <w:rFonts w:ascii="Calibri" w:cs="Calibri" w:eastAsia="Calibri" w:hAnsi="Calibri"/>
                <w:b/>
                <w:bCs/>
                <w:color w:val="1E3A8A"/>
                <w:sz w:val="28"/>
                <w:szCs w:val="28"/>
              </w:rPr>
              <w:t xml:space="preserve">4</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Identity &amp; Access</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JWT RS256; 60-min TTL; HttpOnly cookies; RBAC</w:t>
            </w:r>
          </w:p>
        </w:tc>
        <w:tc>
          <w:tcPr>
            <w:tcW w:type="dxa" w:w="2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Unauthorised access, privilege escalation</w:t>
            </w:r>
          </w:p>
        </w:tc>
      </w:tr>
      <w:tr>
        <w:tc>
          <w:tcPr>
            <w:tcW w:type="dxa" w:w="1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jc w:val="center"/>
            </w:pPr>
            <w:r>
              <w:rPr>
                <w:rFonts w:ascii="Calibri" w:cs="Calibri" w:eastAsia="Calibri" w:hAnsi="Calibri"/>
                <w:b/>
                <w:bCs/>
                <w:color w:val="1E3A8A"/>
                <w:sz w:val="28"/>
                <w:szCs w:val="28"/>
              </w:rPr>
              <w:t xml:space="preserve">3</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App-Level Encryption</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AES-256-GCM; unique DEK per document; 96-bit IV</w:t>
            </w:r>
          </w:p>
        </w:tc>
        <w:tc>
          <w:tcPr>
            <w:tcW w:type="dxa" w:w="2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Database leaks, storage breaches</w:t>
            </w:r>
          </w:p>
        </w:tc>
      </w:tr>
      <w:tr>
        <w:tc>
          <w:tcPr>
            <w:tcW w:type="dxa" w:w="1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jc w:val="center"/>
            </w:pPr>
            <w:r>
              <w:rPr>
                <w:rFonts w:ascii="Calibri" w:cs="Calibri" w:eastAsia="Calibri" w:hAnsi="Calibri"/>
                <w:b/>
                <w:bCs/>
                <w:color w:val="1E3A8A"/>
                <w:sz w:val="28"/>
                <w:szCs w:val="28"/>
              </w:rPr>
              <w:t xml:space="preserve">2</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Key Wrapping</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RSA-OAEP-256; CMK in Azure Key Vault (RSA-3072)</w:t>
            </w:r>
          </w:p>
        </w:tc>
        <w:tc>
          <w:tcPr>
            <w:tcW w:type="dxa" w:w="2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Plaintext key exposure</w:t>
            </w:r>
          </w:p>
        </w:tc>
      </w:tr>
      <w:tr>
        <w:tc>
          <w:tcPr>
            <w:tcW w:type="dxa" w:w="1000"/>
            <w:tcBorders>
              <w:top w:val="single" w:color="CBD5E1" w:sz="4"/>
              <w:left w:val="single" w:color="CBD5E1" w:sz="4"/>
              <w:bottom w:val="single" w:color="CBD5E1" w:sz="4"/>
              <w:right w:val="single" w:color="CBD5E1" w:sz="4"/>
            </w:tcBorders>
            <w:shd w:fill="DBEAFE" w:val="clear"/>
            <w:tcMar>
              <w:top w:type="dxa" w:w="100"/>
              <w:left w:type="dxa" w:w="140"/>
              <w:bottom w:type="dxa" w:w="100"/>
              <w:right w:type="dxa" w:w="140"/>
            </w:tcMar>
          </w:tcPr>
          <w:p>
            <w:pPr>
              <w:jc w:val="center"/>
            </w:pPr>
            <w:r>
              <w:rPr>
                <w:rFonts w:ascii="Calibri" w:cs="Calibri" w:eastAsia="Calibri" w:hAnsi="Calibri"/>
                <w:b/>
                <w:bCs/>
                <w:color w:val="1E3A8A"/>
                <w:sz w:val="28"/>
                <w:szCs w:val="28"/>
              </w:rPr>
              <w:t xml:space="preserve">1</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Infrastructure Encryption</w:t>
            </w:r>
          </w:p>
        </w:tc>
        <w:tc>
          <w:tcPr>
            <w:tcW w:type="dxa" w:w="3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Azure Storage SSE with CMK; TLS 1.2+; GRS replication</w:t>
            </w:r>
          </w:p>
        </w:tc>
        <w:tc>
          <w:tcPr>
            <w:tcW w:type="dxa" w:w="25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Physical theft, operator access</w:t>
            </w:r>
          </w:p>
        </w:tc>
      </w:tr>
    </w:tbl>
    <w:p>
      <w:pPr>
        <w:spacing w:before="240"/>
      </w:pPr>
    </w:p>
    <w:p>
      <w:pPr>
        <w:pStyle w:val="Heading2"/>
        <w:spacing w:after="180" w:before="360"/>
      </w:pPr>
      <w:r>
        <w:rPr>
          <w:rFonts w:ascii="Calibri" w:cs="Calibri" w:eastAsia="Calibri" w:hAnsi="Calibri"/>
          <w:b/>
          <w:bCs/>
          <w:color w:val="0F172A"/>
          <w:sz w:val="26"/>
          <w:szCs w:val="26"/>
        </w:rPr>
        <w:t xml:space="preserve">5.2 Encryption Verification — Forensic Evidence</w:t>
      </w:r>
    </w:p>
    <w:p>
      <w:pPr>
        <w:spacing w:after="120" w:line="300"/>
        <w:jc w:val="both"/>
      </w:pPr>
      <w:r>
        <w:rPr>
          <w:rFonts w:ascii="Calibri" w:cs="Calibri" w:eastAsia="Calibri" w:hAnsi="Calibri"/>
          <w:sz w:val="22"/>
          <w:szCs w:val="22"/>
        </w:rPr>
        <w:t xml:space="preserve">Byte-level inspection of production storage confirms effectiveness of application-level encryption. A test file (Revolut Business PDF, 37.9 KB) was uploaded; the resulting Azure Blob ciphertext begins with bytes "?Ru\" — pseudo-random data statistically indistinguishable from noise. The original PDF begins with "%PDF-" (standard magic bytes). The ciphertext is 38,782 bytes (plaintext + 844 bytes cryptographic metadata). Azure stores the file as application/octet-stream — cannot even identify the file type. Upon authenticated retrieval and decryption, the file is reconstructed byte-perfect.</w:t>
      </w:r>
    </w:p>
    <w:p>
      <w:r>
        <w:br w:type="page"/>
      </w:r>
    </w:p>
    <w:p>
      <w:pPr>
        <w:pStyle w:val="Heading1"/>
        <w:spacing w:after="240" w:before="480"/>
      </w:pPr>
      <w:r>
        <w:rPr>
          <w:rFonts w:ascii="Calibri" w:cs="Calibri" w:eastAsia="Calibri" w:hAnsi="Calibri"/>
          <w:b/>
          <w:bCs/>
          <w:color w:val="1E3A8A"/>
          <w:sz w:val="32"/>
          <w:szCs w:val="32"/>
        </w:rPr>
        <w:t xml:space="preserve">6. Data Flow — Upload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w:t>
            </w:r>
          </w:p>
        </w:tc>
        <w:tc>
          <w:tcPr>
            <w:tcW w:type="dxa" w:w="25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Step</w:t>
            </w:r>
          </w:p>
        </w:tc>
        <w:tc>
          <w:tcPr>
            <w:tcW w:type="dxa" w:w="61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Security Controls Applied</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1</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Authentication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BCrypt password verification; JWT issued with MFA claim</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2</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MFA Verification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TOTP code validated; session marked mfa-verified</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3</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Authorisation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viewLegal permission + company scope checked via PermissionEvaluator</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4</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TLS Transit</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TLS 1.2+ with PFS; certificate validated</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5</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DEK Generation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Cryptographically secure 256-bit DEK; unique per document</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6</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Encryption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AES-256-GCM with unique 96-bit IV; authenticated ciphertext</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7</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DEK Wrapping</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Key Vault wrap via RSA-OAEP-256 with CMK</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8</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Persistence</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Ciphertext → Azure Blob; wrapped DEK + metadata → PostgreSQL</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9</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Memory Sanitisation</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DEK and plaintext zeroised from application memory</w:t>
            </w:r>
          </w:p>
        </w:tc>
      </w:tr>
      <w:tr>
        <w:tc>
          <w:tcPr>
            <w:tcW w:type="dxa" w:w="7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10</w:t>
            </w:r>
          </w:p>
        </w:tc>
        <w:tc>
          <w:tcPr>
            <w:tcW w:type="dxa" w:w="25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Audit Logging</w:t>
            </w:r>
          </w:p>
        </w:tc>
        <w:tc>
          <w:tcPr>
            <w:tcW w:type="dxa" w:w="61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Event logged: user ID, timestamp, file hash, action, IP</w:t>
            </w:r>
          </w:p>
        </w:tc>
      </w:tr>
    </w:tbl>
    <w:p>
      <w:r>
        <w:br w:type="page"/>
      </w:r>
    </w:p>
    <w:p>
      <w:pPr>
        <w:pStyle w:val="Heading1"/>
        <w:spacing w:after="240" w:before="480"/>
      </w:pPr>
      <w:r>
        <w:rPr>
          <w:rFonts w:ascii="Calibri" w:cs="Calibri" w:eastAsia="Calibri" w:hAnsi="Calibri"/>
          <w:b/>
          <w:bCs/>
          <w:color w:val="1E3A8A"/>
          <w:sz w:val="32"/>
          <w:szCs w:val="32"/>
        </w:rPr>
        <w:t xml:space="preserve">7. Data Subject Rights (Articles 15–22 GDPR)</w:t>
      </w:r>
    </w:p>
    <w:p>
      <w:pPr>
        <w:spacing w:after="120" w:line="300"/>
        <w:jc w:val="both"/>
      </w:pPr>
      <w:r>
        <w:rPr>
          <w:rFonts w:ascii="Calibri" w:cs="Calibri" w:eastAsia="Calibri" w:hAnsi="Calibri"/>
          <w:sz w:val="22"/>
          <w:szCs w:val="22"/>
        </w:rPr>
        <w:t xml:space="preserve">The Data Controller has implemented documented procedures to respond to all data subject rights within the one-month statutory deadline prescribed by Article 12(3) GDPR. Each procedure is assigned an internal ticket identifier for tracking.</w:t>
      </w:r>
    </w:p>
    <w:p>
      <w:pPr>
        <w:spacing w:before="240"/>
      </w:pPr>
    </w:p>
    <w:p>
      <w:pPr>
        <w:pStyle w:val="Heading2"/>
        <w:spacing w:after="180" w:before="360"/>
      </w:pPr>
      <w:r>
        <w:rPr>
          <w:rFonts w:ascii="Calibri" w:cs="Calibri" w:eastAsia="Calibri" w:hAnsi="Calibri"/>
          <w:b/>
          <w:bCs/>
          <w:color w:val="0F172A"/>
          <w:sz w:val="26"/>
          <w:szCs w:val="26"/>
        </w:rPr>
        <w:t xml:space="preserve">7.1 Rights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360"/>
        <w:gridCol w:w="3000"/>
      </w:tblGrid>
      <w:tr>
        <w:tc>
          <w:tcPr>
            <w:tcW w:type="dxa" w:w="6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Art.</w:t>
            </w:r>
          </w:p>
        </w:tc>
        <w:tc>
          <w:tcPr>
            <w:tcW w:type="dxa" w:w="24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Right</w:t>
            </w:r>
          </w:p>
        </w:tc>
        <w:tc>
          <w:tcPr>
            <w:tcW w:type="dxa" w:w="33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Operational Procedure</w:t>
            </w:r>
          </w:p>
        </w:tc>
        <w:tc>
          <w:tcPr>
            <w:tcW w:type="dxa" w:w="30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Deadline</w:t>
            </w:r>
          </w:p>
        </w:tc>
      </w:tr>
      <w:tr>
        <w:tc>
          <w:tcPr>
            <w:tcW w:type="dxa" w:w="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15</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Access</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DSAR ticket → identity verification → database query + contract extraction → structured export (PDF+JSON) via secure channel</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30 days</w:t>
            </w:r>
          </w:p>
        </w:tc>
      </w:tr>
      <w:tr>
        <w:tc>
          <w:tcPr>
            <w:tcW w:type="dxa" w:w="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16</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Rectification</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Contract: amendment/addendum (original preserved for legal validity). Metadata: direct correction via admin interface</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30 days</w:t>
            </w:r>
          </w:p>
        </w:tc>
      </w:tr>
      <w:tr>
        <w:tc>
          <w:tcPr>
            <w:tcW w:type="dxa" w:w="600"/>
            <w:tcBorders>
              <w:top w:val="single" w:color="CBD5E1" w:sz="4"/>
              <w:left w:val="single" w:color="CBD5E1" w:sz="4"/>
              <w:bottom w:val="single" w:color="CBD5E1" w:sz="4"/>
              <w:right w:val="single" w:color="CBD5E1" w:sz="4"/>
            </w:tcBorders>
            <w:shd w:fill="FEF3C7"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17</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D97706"/>
                <w:sz w:val="20"/>
                <w:szCs w:val="20"/>
              </w:rPr>
              <w:t xml:space="preserve">Erasure</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D97706"/>
                <w:sz w:val="20"/>
                <w:szCs w:val="20"/>
              </w:rPr>
              <w:t xml:space="preserve">Detailed procedure — see §7.2 below</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30 days (subject to legal retention)</w:t>
            </w:r>
          </w:p>
        </w:tc>
      </w:tr>
      <w:tr>
        <w:tc>
          <w:tcPr>
            <w:tcW w:type="dxa" w:w="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18</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Restriction</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Flag restricted=true in database → subsequent access attempts blocked and logged → original preserved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30 days</w:t>
            </w:r>
          </w:p>
        </w:tc>
      </w:tr>
      <w:tr>
        <w:tc>
          <w:tcPr>
            <w:tcW w:type="dxa" w:w="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20</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Portability</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Machine-readable export: original contract PDFs + metadata JSON archive; delivered via time-limited secure download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30 days</w:t>
            </w:r>
          </w:p>
        </w:tc>
      </w:tr>
      <w:tr>
        <w:tc>
          <w:tcPr>
            <w:tcW w:type="dxa" w:w="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21</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Object</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Objection evaluated against Article 6(1)(f) balancing test; decision documented and communicated</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30 days</w:t>
            </w:r>
          </w:p>
        </w:tc>
      </w:tr>
      <w:tr>
        <w:tc>
          <w:tcPr>
            <w:tcW w:type="dxa" w:w="600"/>
            <w:tcBorders>
              <w:top w:val="single" w:color="CBD5E1" w:sz="4"/>
              <w:left w:val="single" w:color="CBD5E1" w:sz="4"/>
              <w:bottom w:val="single" w:color="CBD5E1" w:sz="4"/>
              <w:right w:val="single" w:color="CBD5E1" w:sz="4"/>
            </w:tcBorders>
            <w:shd w:fill="D1FAE5" w:val="clear"/>
            <w:tcMar>
              <w:top w:type="dxa" w:w="100"/>
              <w:left w:type="dxa" w:w="140"/>
              <w:bottom w:type="dxa" w:w="100"/>
              <w:right w:type="dxa" w:w="140"/>
            </w:tcMar>
          </w:tcPr>
          <w:p>
            <w:pPr>
              <w:jc w:val="center"/>
            </w:pPr>
            <w:r>
              <w:rPr>
                <w:rFonts w:ascii="Calibri" w:cs="Calibri" w:eastAsia="Calibri" w:hAnsi="Calibri"/>
                <w:b/>
                <w:bCs/>
                <w:color w:val="0F172A"/>
                <w:sz w:val="20"/>
                <w:szCs w:val="20"/>
              </w:rPr>
              <w:t xml:space="preserve">22</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59669"/>
                <w:sz w:val="20"/>
                <w:szCs w:val="20"/>
              </w:rPr>
              <w:t xml:space="preserve">Automated Decisions</w:t>
            </w:r>
          </w:p>
        </w:tc>
        <w:tc>
          <w:tcPr>
            <w:tcW w:type="dxa" w:w="33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59669"/>
                <w:sz w:val="20"/>
                <w:szCs w:val="20"/>
              </w:rPr>
              <w:t xml:space="preserve">NOT APPLICABLE — no automated decisions with legal/similarly significant effects</w:t>
            </w:r>
          </w:p>
        </w:tc>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N/A</w:t>
            </w:r>
          </w:p>
        </w:tc>
      </w:tr>
    </w:tbl>
    <w:p>
      <w:r>
        <w:br w:type="page"/>
      </w:r>
    </w:p>
    <w:p>
      <w:pPr>
        <w:pStyle w:val="Heading2"/>
        <w:spacing w:after="180" w:before="360"/>
      </w:pPr>
      <w:r>
        <w:rPr>
          <w:rFonts w:ascii="Calibri" w:cs="Calibri" w:eastAsia="Calibri" w:hAnsi="Calibri"/>
          <w:b/>
          <w:bCs/>
          <w:color w:val="0F172A"/>
          <w:sz w:val="26"/>
          <w:szCs w:val="26"/>
        </w:rPr>
        <w:t xml:space="preserve">7.2 Right to Erasure — Formal Procedure (Article 17 GDPR)</w:t>
      </w:r>
    </w:p>
    <w:p>
      <w:pPr>
        <w:spacing w:after="120" w:line="300"/>
        <w:jc w:val="both"/>
      </w:pPr>
      <w:r>
        <w:rPr>
          <w:rFonts w:ascii="Calibri" w:cs="Calibri" w:eastAsia="Calibri" w:hAnsi="Calibri"/>
          <w:sz w:val="22"/>
          <w:szCs w:val="22"/>
        </w:rPr>
        <w:t xml:space="preserve">The Controller has implemented a documented operational procedure for responding to erasure requests, addressing the complexity of erasing data that is simultaneously (i) encrypted, (ii) subject to mandatory legal retention, and (iii) referenced across multiple storage layers.</w:t>
      </w:r>
    </w:p>
    <w:p>
      <w:pPr>
        <w:pStyle w:val="Heading3"/>
        <w:spacing w:after="120" w:before="240"/>
      </w:pPr>
      <w:r>
        <w:rPr>
          <w:rFonts w:ascii="Calibri" w:cs="Calibri" w:eastAsia="Calibri" w:hAnsi="Calibri"/>
          <w:b/>
          <w:bCs/>
          <w:color w:val="1E3A8A"/>
          <w:sz w:val="22"/>
          <w:szCs w:val="22"/>
        </w:rPr>
        <w:t xml:space="preserve">7.2.1 Receipt and Verification</w:t>
      </w:r>
    </w:p>
    <w:p>
      <w:pPr>
        <w:pStyle w:val="ListParagraph"/>
        <w:numPr>
          <w:ilvl w:val="0"/>
          <w:numId w:val="2"/>
        </w:numPr>
        <w:spacing w:after="80" w:line="280"/>
      </w:pPr>
      <w:r>
        <w:rPr>
          <w:rFonts w:ascii="Calibri" w:cs="Calibri" w:eastAsia="Calibri" w:hAnsi="Calibri"/>
          <w:sz w:val="22"/>
          <w:szCs w:val="22"/>
        </w:rPr>
        <w:t xml:space="preserve">Erasure request received via dpo@next2me.com, secure portal, or written correspondence;</w:t>
      </w:r>
    </w:p>
    <w:p>
      <w:pPr>
        <w:pStyle w:val="ListParagraph"/>
        <w:numPr>
          <w:ilvl w:val="0"/>
          <w:numId w:val="2"/>
        </w:numPr>
        <w:spacing w:after="80" w:line="280"/>
      </w:pPr>
      <w:r>
        <w:rPr>
          <w:rFonts w:ascii="Calibri" w:cs="Calibri" w:eastAsia="Calibri" w:hAnsi="Calibri"/>
          <w:sz w:val="22"/>
          <w:szCs w:val="22"/>
        </w:rPr>
        <w:t xml:space="preserve">Ticket opened in DSAR tracking system with unique identifier (format: ERASE-YYYY-NNNN);</w:t>
      </w:r>
    </w:p>
    <w:p>
      <w:pPr>
        <w:pStyle w:val="ListParagraph"/>
        <w:numPr>
          <w:ilvl w:val="0"/>
          <w:numId w:val="2"/>
        </w:numPr>
        <w:spacing w:after="80" w:line="280"/>
      </w:pPr>
      <w:r>
        <w:rPr>
          <w:rFonts w:ascii="Calibri" w:cs="Calibri" w:eastAsia="Calibri" w:hAnsi="Calibri"/>
          <w:sz w:val="22"/>
          <w:szCs w:val="22"/>
        </w:rPr>
        <w:t xml:space="preserve">Data subject identity verified via: (i) authenticated portal access, OR (ii) government-issued ID comparison with contractual records;</w:t>
      </w:r>
    </w:p>
    <w:p>
      <w:pPr>
        <w:pStyle w:val="ListParagraph"/>
        <w:numPr>
          <w:ilvl w:val="0"/>
          <w:numId w:val="2"/>
        </w:numPr>
        <w:spacing w:after="80" w:line="280"/>
      </w:pPr>
      <w:r>
        <w:rPr>
          <w:rFonts w:ascii="Calibri" w:cs="Calibri" w:eastAsia="Calibri" w:hAnsi="Calibri"/>
          <w:sz w:val="22"/>
          <w:szCs w:val="22"/>
        </w:rPr>
        <w:t xml:space="preserve">Request scope documented: specific contracts, all references, or complete data subject erasure.</w:t>
      </w:r>
    </w:p>
    <w:p>
      <w:pPr>
        <w:pStyle w:val="Heading3"/>
        <w:spacing w:after="120" w:before="240"/>
      </w:pPr>
      <w:r>
        <w:rPr>
          <w:rFonts w:ascii="Calibri" w:cs="Calibri" w:eastAsia="Calibri" w:hAnsi="Calibri"/>
          <w:b/>
          <w:bCs/>
          <w:color w:val="1E3A8A"/>
          <w:sz w:val="22"/>
          <w:szCs w:val="22"/>
        </w:rPr>
        <w:t xml:space="preserve">7.2.2 Legal Retention Assessment</w:t>
      </w:r>
    </w:p>
    <w:p>
      <w:pPr>
        <w:spacing w:after="120" w:line="300"/>
        <w:jc w:val="both"/>
      </w:pPr>
      <w:r>
        <w:rPr>
          <w:rFonts w:ascii="Calibri" w:cs="Calibri" w:eastAsia="Calibri" w:hAnsi="Calibri"/>
          <w:sz w:val="22"/>
          <w:szCs w:val="22"/>
        </w:rPr>
        <w:t xml:space="preserve">Prior to any erasure, the Controller conducts a legal retention review to determine whether erasure is permitted under Article 17(3) GDPR exceptions:</w:t>
      </w:r>
    </w:p>
    <w:p>
      <w:pPr>
        <w:pStyle w:val="ListParagraph"/>
        <w:numPr>
          <w:ilvl w:val="0"/>
          <w:numId w:val="2"/>
        </w:numPr>
        <w:spacing w:after="80" w:line="280"/>
      </w:pPr>
      <w:r>
        <w:rPr>
          <w:rFonts w:ascii="Calibri" w:cs="Calibri" w:eastAsia="Calibri" w:hAnsi="Calibri"/>
          <w:sz w:val="22"/>
          <w:szCs w:val="22"/>
        </w:rPr>
        <w:t xml:space="preserve">Is the data subject to active contractual obligations (ongoing contract)? → Erasure DEFERRED until contract completion + retention period;</w:t>
      </w:r>
    </w:p>
    <w:p>
      <w:pPr>
        <w:pStyle w:val="ListParagraph"/>
        <w:numPr>
          <w:ilvl w:val="0"/>
          <w:numId w:val="2"/>
        </w:numPr>
        <w:spacing w:after="80" w:line="280"/>
      </w:pPr>
      <w:r>
        <w:rPr>
          <w:rFonts w:ascii="Calibri" w:cs="Calibri" w:eastAsia="Calibri" w:hAnsi="Calibri"/>
          <w:sz w:val="22"/>
          <w:szCs w:val="22"/>
        </w:rPr>
        <w:t xml:space="preserve">Is the data required by Greek Law 4308/2014, Maritime Code, or tax legislation? → Erasure DEFERRED; scope LIMITED to non-mandatory fields;</w:t>
      </w:r>
    </w:p>
    <w:p>
      <w:pPr>
        <w:pStyle w:val="ListParagraph"/>
        <w:numPr>
          <w:ilvl w:val="0"/>
          <w:numId w:val="2"/>
        </w:numPr>
        <w:spacing w:after="80" w:line="280"/>
      </w:pPr>
      <w:r>
        <w:rPr>
          <w:rFonts w:ascii="Calibri" w:cs="Calibri" w:eastAsia="Calibri" w:hAnsi="Calibri"/>
          <w:sz w:val="22"/>
          <w:szCs w:val="22"/>
        </w:rPr>
        <w:t xml:space="preserve">Is the data necessary for the establishment, exercise or defence of legal claims (Art. 17(3)(e))? → Erasure DEFERRED until statute of limitations expires;</w:t>
      </w:r>
    </w:p>
    <w:p>
      <w:pPr>
        <w:pStyle w:val="ListParagraph"/>
        <w:numPr>
          <w:ilvl w:val="0"/>
          <w:numId w:val="2"/>
        </w:numPr>
        <w:spacing w:after="80" w:line="280"/>
      </w:pPr>
      <w:r>
        <w:rPr>
          <w:rFonts w:ascii="Calibri" w:cs="Calibri" w:eastAsia="Calibri" w:hAnsi="Calibri"/>
          <w:sz w:val="22"/>
          <w:szCs w:val="22"/>
        </w:rPr>
        <w:t xml:space="preserve">Where exceptions apply, the data subject receives a written explanation citing the specific legal basis for continued processing.</w:t>
      </w:r>
    </w:p>
    <w:p>
      <w:pPr>
        <w:pStyle w:val="Heading3"/>
        <w:spacing w:after="120" w:before="240"/>
      </w:pPr>
      <w:r>
        <w:rPr>
          <w:rFonts w:ascii="Calibri" w:cs="Calibri" w:eastAsia="Calibri" w:hAnsi="Calibri"/>
          <w:b/>
          <w:bCs/>
          <w:color w:val="1E3A8A"/>
          <w:sz w:val="22"/>
          <w:szCs w:val="22"/>
        </w:rPr>
        <w:t xml:space="preserve">7.2.3 Erasure Execution (Where Permitted)</w:t>
      </w:r>
    </w:p>
    <w:p>
      <w:pPr>
        <w:spacing w:after="120" w:line="300"/>
        <w:jc w:val="both"/>
      </w:pPr>
      <w:r>
        <w:rPr>
          <w:rFonts w:ascii="Calibri" w:cs="Calibri" w:eastAsia="Calibri" w:hAnsi="Calibri"/>
          <w:sz w:val="22"/>
          <w:szCs w:val="22"/>
        </w:rPr>
        <w:t xml:space="preserve">When erasure is legally permitted, the following technical procedure is executed:</w:t>
      </w:r>
    </w:p>
    <w:p>
      <w:pPr>
        <w:pStyle w:val="ListParagraph"/>
        <w:numPr>
          <w:ilvl w:val="0"/>
          <w:numId w:val="2"/>
        </w:numPr>
        <w:spacing w:after="80" w:line="280"/>
      </w:pPr>
      <w:r>
        <w:rPr>
          <w:rFonts w:ascii="Calibri" w:cs="Calibri" w:eastAsia="Calibri" w:hAnsi="Calibri"/>
          <w:b/>
          <w:bCs/>
          <w:sz w:val="22"/>
          <w:szCs w:val="22"/>
        </w:rPr>
        <w:t xml:space="preserve">Step 1 — Application Layer: </w:t>
      </w:r>
      <w:r>
        <w:rPr>
          <w:rFonts w:ascii="Calibri" w:cs="Calibri" w:eastAsia="Calibri" w:hAnsi="Calibri"/>
          <w:sz w:val="22"/>
          <w:szCs w:val="22"/>
        </w:rPr>
        <w:t xml:space="preserve">Database records marked deleted_at with erasure reason code; soft-delete propagates to all foreign-key references.</w:t>
      </w:r>
    </w:p>
    <w:p>
      <w:pPr>
        <w:pStyle w:val="ListParagraph"/>
        <w:numPr>
          <w:ilvl w:val="0"/>
          <w:numId w:val="2"/>
        </w:numPr>
        <w:spacing w:after="80" w:line="280"/>
      </w:pPr>
      <w:r>
        <w:rPr>
          <w:rFonts w:ascii="Calibri" w:cs="Calibri" w:eastAsia="Calibri" w:hAnsi="Calibri"/>
          <w:b/>
          <w:bCs/>
          <w:sz w:val="22"/>
          <w:szCs w:val="22"/>
        </w:rPr>
        <w:t xml:space="preserve">Step 2 — Cryptographic Erasure: </w:t>
      </w:r>
      <w:r>
        <w:rPr>
          <w:rFonts w:ascii="Calibri" w:cs="Calibri" w:eastAsia="Calibri" w:hAnsi="Calibri"/>
          <w:sz w:val="22"/>
          <w:szCs w:val="22"/>
        </w:rPr>
        <w:t xml:space="preserve">The wrapped DEK associated with the data is destroyed from the database. As the wrapped DEK is the only mechanism by which the encrypted Blob can be decrypted, destruction renders the ciphertext permanently unreadable — even if the Blob itself persists on Azure storage media.</w:t>
      </w:r>
    </w:p>
    <w:p>
      <w:pPr>
        <w:pStyle w:val="ListParagraph"/>
        <w:numPr>
          <w:ilvl w:val="0"/>
          <w:numId w:val="2"/>
        </w:numPr>
        <w:spacing w:after="80" w:line="280"/>
      </w:pPr>
      <w:r>
        <w:rPr>
          <w:rFonts w:ascii="Calibri" w:cs="Calibri" w:eastAsia="Calibri" w:hAnsi="Calibri"/>
          <w:b/>
          <w:bCs/>
          <w:sz w:val="22"/>
          <w:szCs w:val="22"/>
        </w:rPr>
        <w:t xml:space="preserve">Step 3 — Storage Erasure: </w:t>
      </w:r>
      <w:r>
        <w:rPr>
          <w:rFonts w:ascii="Calibri" w:cs="Calibri" w:eastAsia="Calibri" w:hAnsi="Calibri"/>
          <w:sz w:val="22"/>
          <w:szCs w:val="22"/>
        </w:rPr>
        <w:t xml:space="preserve">The encrypted Blob is soft-deleted in Azure Blob Storage (90-day retention window, after which it is automatically purged).</w:t>
      </w:r>
    </w:p>
    <w:p>
      <w:pPr>
        <w:pStyle w:val="ListParagraph"/>
        <w:numPr>
          <w:ilvl w:val="0"/>
          <w:numId w:val="2"/>
        </w:numPr>
        <w:spacing w:after="80" w:line="280"/>
      </w:pPr>
      <w:r>
        <w:rPr>
          <w:rFonts w:ascii="Calibri" w:cs="Calibri" w:eastAsia="Calibri" w:hAnsi="Calibri"/>
          <w:b/>
          <w:bCs/>
          <w:sz w:val="22"/>
          <w:szCs w:val="22"/>
        </w:rPr>
        <w:t xml:space="preserve">Step 4 — Backup Propagation: </w:t>
      </w:r>
      <w:r>
        <w:rPr>
          <w:rFonts w:ascii="Calibri" w:cs="Calibri" w:eastAsia="Calibri" w:hAnsi="Calibri"/>
          <w:sz w:val="22"/>
          <w:szCs w:val="22"/>
        </w:rPr>
        <w:t xml:space="preserve">Database backups containing the pre-erasure state age out per the 35-day PITR retention. Azure geo-replication propagates the erasure to West Europe within 15 minutes.</w:t>
      </w:r>
    </w:p>
    <w:p>
      <w:pPr>
        <w:pStyle w:val="ListParagraph"/>
        <w:numPr>
          <w:ilvl w:val="0"/>
          <w:numId w:val="2"/>
        </w:numPr>
        <w:spacing w:after="80" w:line="280"/>
      </w:pPr>
      <w:r>
        <w:rPr>
          <w:rFonts w:ascii="Calibri" w:cs="Calibri" w:eastAsia="Calibri" w:hAnsi="Calibri"/>
          <w:b/>
          <w:bCs/>
          <w:sz w:val="22"/>
          <w:szCs w:val="22"/>
        </w:rPr>
        <w:t xml:space="preserve">Step 5 — Audit Record: </w:t>
      </w:r>
      <w:r>
        <w:rPr>
          <w:rFonts w:ascii="Calibri" w:cs="Calibri" w:eastAsia="Calibri" w:hAnsi="Calibri"/>
          <w:sz w:val="22"/>
          <w:szCs w:val="22"/>
        </w:rPr>
        <w:t xml:space="preserve">An immutable audit log entry records the erasure with: ticket ID, data subject ID, scope, timestamp, operator, and legal basis. This record itself is retained for 7 years as evidence of compliance.</w:t>
      </w:r>
    </w:p>
    <w:p>
      <w:pPr>
        <w:pStyle w:val="ListParagraph"/>
        <w:numPr>
          <w:ilvl w:val="0"/>
          <w:numId w:val="2"/>
        </w:numPr>
        <w:spacing w:after="80" w:line="280"/>
      </w:pPr>
      <w:r>
        <w:rPr>
          <w:rFonts w:ascii="Calibri" w:cs="Calibri" w:eastAsia="Calibri" w:hAnsi="Calibri"/>
          <w:b/>
          <w:bCs/>
          <w:sz w:val="22"/>
          <w:szCs w:val="22"/>
        </w:rPr>
        <w:t xml:space="preserve">Step 6 — Confirmation: </w:t>
      </w:r>
      <w:r>
        <w:rPr>
          <w:rFonts w:ascii="Calibri" w:cs="Calibri" w:eastAsia="Calibri" w:hAnsi="Calibri"/>
          <w:sz w:val="22"/>
          <w:szCs w:val="22"/>
        </w:rPr>
        <w:t xml:space="preserve">Written confirmation provided to the data subject within the statutory deadline, including a description of what was erased, what was retained (with legal basis), and any onward notifications made pursuant to Article 19 GDPR.</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8A" w:sz="16"/>
              <w:left w:val="single" w:color="1E3A8A" w:sz="16"/>
              <w:bottom w:val="single" w:color="1E3A8A" w:sz="4"/>
              <w:right w:val="single" w:color="1E3A8A" w:sz="4"/>
            </w:tcBorders>
            <w:shd w:fill="F1F5F9" w:val="clear"/>
            <w:tcMar>
              <w:top w:type="dxa" w:w="200"/>
              <w:left w:type="dxa" w:w="280"/>
              <w:bottom w:type="dxa" w:w="200"/>
              <w:right w:type="dxa" w:w="280"/>
            </w:tcMar>
          </w:tcPr>
          <w:p>
            <w:pPr>
              <w:spacing w:after="100"/>
            </w:pPr>
            <w:r>
              <w:rPr>
                <w:rFonts w:ascii="Calibri" w:cs="Calibri" w:eastAsia="Calibri" w:hAnsi="Calibri"/>
                <w:b/>
                <w:bCs/>
                <w:color w:val="1E3A8A"/>
                <w:sz w:val="22"/>
                <w:szCs w:val="22"/>
              </w:rPr>
              <w:t xml:space="preserve">🔥  CRYPTOGRAPHIC ERASURE NOTE</w:t>
            </w:r>
          </w:p>
          <w:p>
            <w:pPr>
              <w:jc w:val="both"/>
            </w:pPr>
            <w:r>
              <w:rPr>
                <w:rFonts w:ascii="Calibri" w:cs="Calibri" w:eastAsia="Calibri" w:hAnsi="Calibri"/>
                <w:color w:val="0F172A"/>
                <w:sz w:val="20"/>
                <w:szCs w:val="20"/>
              </w:rPr>
              <w:t xml:space="preserve">The Controller relies on NIST SP 800-88 Rev. 1 as the authoritative standard for media sanitisation. Cryptographic erasure — the destruction of cryptographic keys rendering ciphertext unreadable — is explicitly recognised as a valid sanitisation method for media containing up to and including Confidential and Restricted information. This technique is superior to physical destruction for cloud environments where physical media access is not available, and is robust against future technological advances (including, within current cryptographic assumptions, post-quantum threats to symmetric AES-256).</w:t>
            </w:r>
          </w:p>
        </w:tc>
      </w:tr>
    </w:tbl>
    <w:p>
      <w:r>
        <w:br w:type="page"/>
      </w:r>
    </w:p>
    <w:p>
      <w:pPr>
        <w:pStyle w:val="Heading1"/>
        <w:spacing w:after="240" w:before="480"/>
      </w:pPr>
      <w:r>
        <w:rPr>
          <w:rFonts w:ascii="Calibri" w:cs="Calibri" w:eastAsia="Calibri" w:hAnsi="Calibri"/>
          <w:b/>
          <w:bCs/>
          <w:color w:val="1E3A8A"/>
          <w:sz w:val="32"/>
          <w:szCs w:val="32"/>
        </w:rPr>
        <w:t xml:space="preserve">8. Retention Policy</w:t>
      </w:r>
    </w:p>
    <w:p>
      <w:pPr>
        <w:pStyle w:val="Heading2"/>
        <w:spacing w:after="180" w:before="360"/>
      </w:pPr>
      <w:r>
        <w:rPr>
          <w:rFonts w:ascii="Calibri" w:cs="Calibri" w:eastAsia="Calibri" w:hAnsi="Calibri"/>
          <w:b/>
          <w:bCs/>
          <w:color w:val="0F172A"/>
          <w:sz w:val="26"/>
          <w:szCs w:val="26"/>
        </w:rPr>
        <w:t xml:space="preserve">8.1 Retention Matrix — Per Category</w:t>
      </w:r>
    </w:p>
    <w:p>
      <w:pPr>
        <w:spacing w:after="120" w:line="300"/>
        <w:jc w:val="both"/>
      </w:pPr>
      <w:r>
        <w:rPr>
          <w:rFonts w:ascii="Calibri" w:cs="Calibri" w:eastAsia="Calibri" w:hAnsi="Calibri"/>
          <w:sz w:val="22"/>
          <w:szCs w:val="22"/>
        </w:rPr>
        <w:t xml:space="preserve">The Controller's Retention Policy is designed to balance three competing considerations: (i) legal obligations for retention under Greek and EU law, (ii) operational necessity for contract administration, and (iii) the data minimisation principle requiring erasure when no longer necessary for the purposes for which the data was processed.</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600"/>
        <w:gridCol w:w="2660"/>
      </w:tblGrid>
      <w:tr>
        <w:tc>
          <w:tcPr>
            <w:tcW w:type="dxa" w:w="24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Data Category</w:t>
            </w:r>
          </w:p>
        </w:tc>
        <w:tc>
          <w:tcPr>
            <w:tcW w:type="dxa" w:w="17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Retention Period</w:t>
            </w:r>
          </w:p>
        </w:tc>
        <w:tc>
          <w:tcPr>
            <w:tcW w:type="dxa" w:w="26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Legal/Operational Basis</w:t>
            </w:r>
          </w:p>
        </w:tc>
        <w:tc>
          <w:tcPr>
            <w:tcW w:type="dxa" w:w="26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Post-Retention Action</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Executed commercial contracts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10 years after completion</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Greek Civil Code Art. 249 (general prescription) + Law 4308/2014</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Cryptographic erasure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Maritime contracts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10 years after vessel disposition</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Greek Maritime Code; charter party limitation</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Cryptographic erasure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Financial/Accounting records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5 years after fiscal year end</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Greek Law 4308/2014 (accounting) + Tax Procedures Code</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Cryptographic erasure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Employment-related contracts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20 years after termination</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EFKA social security inquiries; labour law limitation period</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Cryptographic erasure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Terminated platform user accounts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90 days after deactivation</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Operational: potential reactivation; security: forensic availability</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Hard delete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Active platform user accounts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Duration of employment + 30 days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Operational: platform access requirement</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Deactivation → 90-day hold → hard delete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Audit logs — security events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7 years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ISO 27001 A.8.15; fraud prevention; tax audit alignment</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Automated purge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Authentication session tokens (access)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60 minutes (TTL)</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Security best practice — minimal exposure window</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Automatic expiry</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Refresh tokens</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7 days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Balance between user convenience and security</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Automatic expiry + hash-based storage</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Soft-deleted files (recovery window)</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90 days</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Operational: accidental deletion recovery</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Automated purge (cryptographic)</w:t>
            </w:r>
          </w:p>
        </w:tc>
      </w:tr>
      <w:tr>
        <w:tc>
          <w:tcPr>
            <w:tcW w:type="dxa" w:w="24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Database backups (PITR)</w:t>
            </w:r>
          </w:p>
        </w:tc>
        <w:tc>
          <w:tcPr>
            <w:tcW w:type="dxa" w:w="17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35 days (rolling)</w:t>
            </w:r>
          </w:p>
        </w:tc>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Azure PostgreSQL native PITR; business continuity</w:t>
            </w:r>
          </w:p>
        </w:tc>
        <w:tc>
          <w:tcPr>
            <w:tcW w:type="dxa" w:w="26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Automatic aging</w:t>
            </w:r>
          </w:p>
        </w:tc>
      </w:tr>
    </w:tbl>
    <w:p>
      <w:pPr>
        <w:spacing w:before="240"/>
      </w:pPr>
    </w:p>
    <w:p>
      <w:pPr>
        <w:pStyle w:val="Heading2"/>
        <w:spacing w:after="180" w:before="360"/>
      </w:pPr>
      <w:r>
        <w:rPr>
          <w:rFonts w:ascii="Calibri" w:cs="Calibri" w:eastAsia="Calibri" w:hAnsi="Calibri"/>
          <w:b/>
          <w:bCs/>
          <w:color w:val="0F172A"/>
          <w:sz w:val="26"/>
          <w:szCs w:val="26"/>
        </w:rPr>
        <w:t xml:space="preserve">8.2 Justification of Audit Log Retention (7 years)</w:t>
      </w:r>
    </w:p>
    <w:p>
      <w:pPr>
        <w:spacing w:after="120" w:line="300"/>
        <w:jc w:val="both"/>
      </w:pPr>
      <w:r>
        <w:rPr>
          <w:rFonts w:ascii="Calibri" w:cs="Calibri" w:eastAsia="Calibri" w:hAnsi="Calibri"/>
          <w:sz w:val="22"/>
          <w:szCs w:val="22"/>
        </w:rPr>
        <w:t xml:space="preserve">The 7-year retention of audit logs has been deliberately calibrated against three requirements: (i) Greek tax law permits tax authority inquiries up to 5 years retrospectively, extendable to 10 years in specific circumstances; (ii) ISO/IEC 27001:2022 control A.8.15 requires sufficient retention for security investigations; (iii) the general prescription period under Greek Civil Code is 20 years (ordinary) or 5 years (commercial). The 7-year period represents the minimum necessary to satisfy these overlapping requirements while respecting the Article 5(1)(e) storage limitation principle.</w:t>
      </w:r>
    </w:p>
    <w:p>
      <w:r>
        <w:br w:type="page"/>
      </w:r>
    </w:p>
    <w:p>
      <w:pPr>
        <w:pStyle w:val="Heading1"/>
        <w:spacing w:after="240" w:before="480"/>
      </w:pPr>
      <w:r>
        <w:rPr>
          <w:rFonts w:ascii="Calibri" w:cs="Calibri" w:eastAsia="Calibri" w:hAnsi="Calibri"/>
          <w:b/>
          <w:bCs/>
          <w:color w:val="1E3A8A"/>
          <w:sz w:val="32"/>
          <w:szCs w:val="32"/>
        </w:rPr>
        <w:t xml:space="preserve">9. Risk Assessment</w:t>
      </w:r>
    </w:p>
    <w:p>
      <w:pPr>
        <w:spacing w:after="120" w:line="300"/>
        <w:jc w:val="both"/>
      </w:pPr>
      <w:r>
        <w:rPr>
          <w:rFonts w:ascii="Calibri" w:cs="Calibri" w:eastAsia="Calibri" w:hAnsi="Calibri"/>
          <w:sz w:val="22"/>
          <w:szCs w:val="22"/>
        </w:rPr>
        <w:t xml:space="preserve">Following implementation of the technical and organisational measures documented herein, residual risk to the rights and freedoms of data subjects is assessed as LOW across all identified scenarios. Detailed risk matrix follows the WP29/EDPB Guidelines methodology (WP248 rev.01), with likelihood and severity rated on a 1–5 scale.</w:t>
      </w:r>
    </w:p>
    <w:p>
      <w:pPr>
        <w:spacing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200"/>
        <w:gridCol w:w="1000"/>
        <w:gridCol w:w="1760"/>
      </w:tblGrid>
      <w:tr>
        <w:tc>
          <w:tcPr>
            <w:tcW w:type="dxa" w:w="26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Risk Scenario</w:t>
            </w:r>
          </w:p>
        </w:tc>
        <w:tc>
          <w:tcPr>
            <w:tcW w:type="dxa" w:w="28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Mitigation</w:t>
            </w:r>
          </w:p>
        </w:tc>
        <w:tc>
          <w:tcPr>
            <w:tcW w:type="dxa" w:w="12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L</w:t>
            </w:r>
          </w:p>
        </w:tc>
        <w:tc>
          <w:tcPr>
            <w:tcW w:type="dxa" w:w="100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w:t>
            </w:r>
          </w:p>
        </w:tc>
        <w:tc>
          <w:tcPr>
            <w:tcW w:type="dxa" w:w="176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Residual</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Storage breach (infrastructure)</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AES-256-GCM per-file; stolen blobs are ciphertext</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2</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5</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Database dump leak</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DEKs wrapped with RSA-OAEP-256 CMK</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2</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4</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Stolen JWT / session</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MFA enforcement; 60-min TTL; HttpOnly cookies</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3</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3</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Credential phishing</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BCrypt(12); MFA; account lockout 5 attempts</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3</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4</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Malicious insider</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Separation of duties; MI (no shared secrets); audit logs</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2</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4</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Availability loss</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GRS replication (RPO &lt; 15 min); auto-scaling</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2</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3</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Accidental deletion</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Soft-delete 90 days; versioning; change-feed</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3</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3</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Key material loss</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Purge-protection IRREVERSIBLE; soft-delete 90d</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1</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5</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r>
        <w:tc>
          <w:tcPr>
            <w:tcW w:type="dxa" w:w="26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F172A"/>
                <w:sz w:val="20"/>
                <w:szCs w:val="20"/>
              </w:rPr>
              <w:t xml:space="preserve">Unauthorised legal access</w:t>
            </w:r>
          </w:p>
        </w:tc>
        <w:tc>
          <w:tcPr>
            <w:tcW w:type="dxa" w:w="28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Permission RBAC + MFA + category scoping</w:t>
            </w:r>
          </w:p>
        </w:tc>
        <w:tc>
          <w:tcPr>
            <w:tcW w:type="dxa" w:w="12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2</w:t>
            </w:r>
          </w:p>
        </w:tc>
        <w:tc>
          <w:tcPr>
            <w:tcW w:type="dxa" w:w="100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val="false"/>
                <w:bCs w:val="false"/>
                <w:color w:val="0F172A"/>
                <w:sz w:val="20"/>
                <w:szCs w:val="20"/>
              </w:rPr>
              <w:t xml:space="preserve">4</w:t>
            </w:r>
          </w:p>
        </w:tc>
        <w:tc>
          <w:tcPr>
            <w:tcW w:type="dxa" w:w="1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center"/>
            </w:pPr>
            <w:r>
              <w:rPr>
                <w:rFonts w:ascii="Calibri" w:cs="Calibri" w:eastAsia="Calibri" w:hAnsi="Calibri"/>
                <w:b/>
                <w:bCs/>
                <w:color w:val="059669"/>
                <w:sz w:val="20"/>
                <w:szCs w:val="20"/>
              </w:rPr>
              <w:t xml:space="preserve">LOW</w:t>
            </w:r>
          </w:p>
        </w:tc>
      </w:tr>
    </w:tbl>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6"/>
              <w:left w:val="single" w:color="059669" w:sz="16"/>
              <w:bottom w:val="single" w:color="059669" w:sz="4"/>
              <w:right w:val="single" w:color="059669" w:sz="4"/>
            </w:tcBorders>
            <w:shd w:fill="F1F5F9" w:val="clear"/>
            <w:tcMar>
              <w:top w:type="dxa" w:w="200"/>
              <w:left w:type="dxa" w:w="280"/>
              <w:bottom w:type="dxa" w:w="200"/>
              <w:right w:type="dxa" w:w="280"/>
            </w:tcMar>
          </w:tcPr>
          <w:p>
            <w:pPr>
              <w:spacing w:after="100"/>
            </w:pPr>
            <w:r>
              <w:rPr>
                <w:rFonts w:ascii="Calibri" w:cs="Calibri" w:eastAsia="Calibri" w:hAnsi="Calibri"/>
                <w:b/>
                <w:bCs/>
                <w:color w:val="059669"/>
                <w:sz w:val="22"/>
                <w:szCs w:val="22"/>
              </w:rPr>
              <w:t xml:space="preserve">✅  OVERALL RISK DETERMINATION</w:t>
            </w:r>
          </w:p>
          <w:p>
            <w:pPr>
              <w:jc w:val="both"/>
            </w:pPr>
            <w:r>
              <w:rPr>
                <w:rFonts w:ascii="Calibri" w:cs="Calibri" w:eastAsia="Calibri" w:hAnsi="Calibri"/>
                <w:color w:val="0F172A"/>
                <w:sz w:val="20"/>
                <w:szCs w:val="20"/>
              </w:rPr>
              <w:t xml:space="preserve">Residual risk to the rights and freedoms of data subjects is assessed as LOW across all scenarios. Prior consultation with the Supervisory Authority pursuant to Article 36 GDPR is NOT REQUIRED.</w:t>
            </w:r>
          </w:p>
        </w:tc>
      </w:tr>
    </w:tbl>
    <w:p>
      <w:r>
        <w:br w:type="page"/>
      </w:r>
    </w:p>
    <w:p>
      <w:pPr>
        <w:pStyle w:val="Heading1"/>
        <w:spacing w:after="240" w:before="480"/>
      </w:pPr>
      <w:r>
        <w:rPr>
          <w:rFonts w:ascii="Calibri" w:cs="Calibri" w:eastAsia="Calibri" w:hAnsi="Calibri"/>
          <w:b/>
          <w:bCs/>
          <w:color w:val="1E3A8A"/>
          <w:sz w:val="32"/>
          <w:szCs w:val="32"/>
        </w:rPr>
        <w:t xml:space="preserve">10. GDPR Article 32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Requirement</w:t>
            </w:r>
          </w:p>
        </w:tc>
        <w:tc>
          <w:tcPr>
            <w:tcW w:type="dxa" w:w="6240"/>
            <w:tcBorders>
              <w:top w:val="single" w:color="CBD5E1" w:sz="4"/>
              <w:left w:val="single" w:color="CBD5E1" w:sz="4"/>
              <w:bottom w:val="single" w:color="CBD5E1" w:sz="4"/>
              <w:right w:val="single" w:color="CBD5E1" w:sz="4"/>
            </w:tcBorders>
            <w:shd w:fill="1E3A8A" w:val="clear"/>
            <w:tcMar>
              <w:top w:type="dxa" w:w="100"/>
              <w:left w:type="dxa" w:w="140"/>
              <w:bottom w:type="dxa" w:w="100"/>
              <w:right w:type="dxa" w:w="140"/>
            </w:tcMar>
          </w:tcPr>
          <w:p>
            <w:pPr>
              <w:jc w:val="left"/>
            </w:pPr>
            <w:r>
              <w:rPr>
                <w:rFonts w:ascii="Calibri" w:cs="Calibri" w:eastAsia="Calibri" w:hAnsi="Calibri"/>
                <w:b/>
                <w:bCs/>
                <w:color w:val="FFFFFF"/>
                <w:sz w:val="20"/>
                <w:szCs w:val="20"/>
              </w:rPr>
              <w:t xml:space="preserve">Implementation</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32(1)(a) Pseudonymisation &amp; encryption</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59669"/>
                <w:sz w:val="20"/>
                <w:szCs w:val="20"/>
              </w:rPr>
              <w:t xml:space="preserve">AES-256-GCM per document + RSA-OAEP-256 CMK wrapping + TLS 1.2+</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32(1)(b) Confidentiality, integrity, availability, resilience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59669"/>
                <w:sz w:val="20"/>
                <w:szCs w:val="20"/>
              </w:rPr>
              <w:t xml:space="preserve">5-layer defence + SHA-256/GCM integrity + GRS availability + auto-scaling resilience</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32(1)(c) Restoration capability</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59669"/>
                <w:sz w:val="20"/>
                <w:szCs w:val="20"/>
              </w:rPr>
              <w:t xml:space="preserve">GRS (RPO &lt;15 min) + soft-delete 90d + versioning + PITR 35d</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32(1)(d) Regular testing &amp; assessment</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bCs/>
                <w:color w:val="059669"/>
                <w:sz w:val="20"/>
                <w:szCs w:val="20"/>
              </w:rPr>
              <w:t xml:space="preserve">Annual DPIA review + continuous Dependabot scans + penetration testing on demand</w:t>
            </w:r>
          </w:p>
        </w:tc>
      </w:tr>
    </w:tbl>
    <w:p>
      <w:r>
        <w:br w:type="page"/>
      </w:r>
    </w:p>
    <w:p>
      <w:pPr>
        <w:pStyle w:val="Heading1"/>
        <w:spacing w:after="240" w:before="480"/>
      </w:pPr>
      <w:r>
        <w:rPr>
          <w:rFonts w:ascii="Calibri" w:cs="Calibri" w:eastAsia="Calibri" w:hAnsi="Calibri"/>
          <w:b/>
          <w:bCs/>
          <w:color w:val="1E3A8A"/>
          <w:sz w:val="32"/>
          <w:szCs w:val="32"/>
        </w:rPr>
        <w:t xml:space="preserve">11. Internal Governance Framework</w:t>
      </w:r>
    </w:p>
    <w:p>
      <w:pPr>
        <w:pStyle w:val="Heading2"/>
        <w:spacing w:after="180" w:before="360"/>
      </w:pPr>
      <w:r>
        <w:rPr>
          <w:rFonts w:ascii="Calibri" w:cs="Calibri" w:eastAsia="Calibri" w:hAnsi="Calibri"/>
          <w:b/>
          <w:bCs/>
          <w:color w:val="0F172A"/>
          <w:sz w:val="26"/>
          <w:szCs w:val="26"/>
        </w:rPr>
        <w:t xml:space="preserve">11.1 Employee Privacy Notice</w:t>
      </w:r>
    </w:p>
    <w:p>
      <w:pPr>
        <w:spacing w:after="120" w:line="300"/>
        <w:jc w:val="both"/>
      </w:pPr>
      <w:r>
        <w:rPr>
          <w:rFonts w:ascii="Calibri" w:cs="Calibri" w:eastAsia="Calibri" w:hAnsi="Calibri"/>
          <w:sz w:val="22"/>
          <w:szCs w:val="22"/>
        </w:rPr>
        <w:t xml:space="preserve">As platform users are primarily Next2me Group employees, an Employee Privacy Notice has been issued separately and is provided to each user upon account activation. The Notice covers: categories of data processed (authentication credentials, activity logs, accessed documents), purposes (platform operation, security monitoring, performance evaluation where applicable), retention periods (per §8), rights (§7), and contact details for the DPO. Acknowledgement of receipt is recorded in the user's HR file.</w:t>
      </w:r>
    </w:p>
    <w:p>
      <w:pPr>
        <w:pStyle w:val="Heading2"/>
        <w:spacing w:after="180" w:before="360"/>
      </w:pPr>
      <w:r>
        <w:rPr>
          <w:rFonts w:ascii="Calibri" w:cs="Calibri" w:eastAsia="Calibri" w:hAnsi="Calibri"/>
          <w:b/>
          <w:bCs/>
          <w:color w:val="0F172A"/>
          <w:sz w:val="26"/>
          <w:szCs w:val="26"/>
        </w:rPr>
        <w:t xml:space="preserve">11.2 Acceptable Use Policy</w:t>
      </w:r>
    </w:p>
    <w:p>
      <w:pPr>
        <w:spacing w:after="120" w:line="300"/>
        <w:jc w:val="both"/>
      </w:pPr>
      <w:r>
        <w:rPr>
          <w:rFonts w:ascii="Calibri" w:cs="Calibri" w:eastAsia="Calibri" w:hAnsi="Calibri"/>
          <w:sz w:val="22"/>
          <w:szCs w:val="22"/>
        </w:rPr>
        <w:t xml:space="preserve">The Next2View Acceptable Use Policy (separate document) governs employee use of the platform, including obligations regarding: confidentiality of accessed documents, prohibition of credential sharing, mandatory MFA activation, incident reporting duties, and clean-desk practices. Breach of this policy constitutes a disciplinary matter.</w:t>
      </w:r>
    </w:p>
    <w:p>
      <w:pPr>
        <w:pStyle w:val="Heading2"/>
        <w:spacing w:after="180" w:before="360"/>
      </w:pPr>
      <w:r>
        <w:rPr>
          <w:rFonts w:ascii="Calibri" w:cs="Calibri" w:eastAsia="Calibri" w:hAnsi="Calibri"/>
          <w:b/>
          <w:bCs/>
          <w:color w:val="0F172A"/>
          <w:sz w:val="26"/>
          <w:szCs w:val="26"/>
        </w:rPr>
        <w:t xml:space="preserve">11.3 Access Review Cycle</w:t>
      </w:r>
    </w:p>
    <w:p>
      <w:pPr>
        <w:pStyle w:val="ListParagraph"/>
        <w:numPr>
          <w:ilvl w:val="0"/>
          <w:numId w:val="2"/>
        </w:numPr>
        <w:spacing w:after="80" w:line="280"/>
      </w:pPr>
      <w:r>
        <w:rPr>
          <w:rFonts w:ascii="Calibri" w:cs="Calibri" w:eastAsia="Calibri" w:hAnsi="Calibri"/>
          <w:sz w:val="22"/>
          <w:szCs w:val="22"/>
        </w:rPr>
        <w:t xml:space="preserve">Quarterly: review of all user accounts and active permission grants by CEO;</w:t>
      </w:r>
    </w:p>
    <w:p>
      <w:pPr>
        <w:pStyle w:val="ListParagraph"/>
        <w:numPr>
          <w:ilvl w:val="0"/>
          <w:numId w:val="2"/>
        </w:numPr>
        <w:spacing w:after="80" w:line="280"/>
      </w:pPr>
      <w:r>
        <w:rPr>
          <w:rFonts w:ascii="Calibri" w:cs="Calibri" w:eastAsia="Calibri" w:hAnsi="Calibri"/>
          <w:sz w:val="22"/>
          <w:szCs w:val="22"/>
        </w:rPr>
        <w:t xml:space="preserve">On role change: immediate review and adjustment of permissions;</w:t>
      </w:r>
    </w:p>
    <w:p>
      <w:pPr>
        <w:pStyle w:val="ListParagraph"/>
        <w:numPr>
          <w:ilvl w:val="0"/>
          <w:numId w:val="2"/>
        </w:numPr>
        <w:spacing w:after="80" w:line="280"/>
      </w:pPr>
      <w:r>
        <w:rPr>
          <w:rFonts w:ascii="Calibri" w:cs="Calibri" w:eastAsia="Calibri" w:hAnsi="Calibri"/>
          <w:sz w:val="22"/>
          <w:szCs w:val="22"/>
        </w:rPr>
        <w:t xml:space="preserve">On termination: same-day deactivation of account; 90-day hold before hard delete;</w:t>
      </w:r>
    </w:p>
    <w:p>
      <w:pPr>
        <w:pStyle w:val="ListParagraph"/>
        <w:numPr>
          <w:ilvl w:val="0"/>
          <w:numId w:val="2"/>
        </w:numPr>
        <w:spacing w:after="80" w:line="280"/>
      </w:pPr>
      <w:r>
        <w:rPr>
          <w:rFonts w:ascii="Calibri" w:cs="Calibri" w:eastAsia="Calibri" w:hAnsi="Calibri"/>
          <w:sz w:val="22"/>
          <w:szCs w:val="22"/>
        </w:rPr>
        <w:t xml:space="preserve">Annual: comprehensive access audit with documented management sign-off.</w:t>
      </w:r>
    </w:p>
    <w:p>
      <w:r>
        <w:br w:type="page"/>
      </w:r>
    </w:p>
    <w:p>
      <w:pPr>
        <w:pStyle w:val="Heading1"/>
        <w:spacing w:after="240" w:before="480"/>
      </w:pPr>
      <w:r>
        <w:rPr>
          <w:rFonts w:ascii="Calibri" w:cs="Calibri" w:eastAsia="Calibri" w:hAnsi="Calibri"/>
          <w:b/>
          <w:bCs/>
          <w:color w:val="1E3A8A"/>
          <w:sz w:val="32"/>
          <w:szCs w:val="32"/>
        </w:rPr>
        <w:t xml:space="preserve">12. Conclusion and Approval</w:t>
      </w:r>
    </w:p>
    <w:p>
      <w:pPr>
        <w:spacing w:after="120" w:line="300"/>
        <w:jc w:val="both"/>
      </w:pPr>
      <w:r>
        <w:rPr>
          <w:rFonts w:ascii="Calibri" w:cs="Calibri" w:eastAsia="Calibri" w:hAnsi="Calibri"/>
          <w:sz w:val="22"/>
          <w:szCs w:val="22"/>
        </w:rPr>
        <w:t xml:space="preserve">Following a comprehensive assessment conducted pursuant to Article 35 GDPR and incorporating findings from external legal audit, the Controller concludes that:</w:t>
      </w:r>
    </w:p>
    <w:p>
      <w:pPr>
        <w:spacing w:after="120" w:line="300"/>
        <w:jc w:val="both"/>
      </w:pPr>
      <w:r>
        <w:rPr>
          <w:rFonts w:ascii="Calibri" w:cs="Calibri" w:eastAsia="Calibri" w:hAnsi="Calibri"/>
          <w:b/>
          <w:bCs/>
          <w:sz w:val="22"/>
          <w:szCs w:val="22"/>
        </w:rPr>
        <w:t xml:space="preserve">1.  </w:t>
      </w:r>
      <w:r>
        <w:rPr>
          <w:rFonts w:ascii="Calibri" w:cs="Calibri" w:eastAsia="Calibri" w:hAnsi="Calibri"/>
          <w:sz w:val="22"/>
          <w:szCs w:val="22"/>
        </w:rPr>
        <w:t xml:space="preserve">Technical and organisational security measures meet and substantially exceed Article 32 GDPR requirements;</w:t>
      </w:r>
    </w:p>
    <w:p>
      <w:pPr>
        <w:spacing w:after="120" w:line="300"/>
        <w:jc w:val="both"/>
      </w:pPr>
      <w:r>
        <w:rPr>
          <w:rFonts w:ascii="Calibri" w:cs="Calibri" w:eastAsia="Calibri" w:hAnsi="Calibri"/>
          <w:b/>
          <w:bCs/>
          <w:sz w:val="22"/>
          <w:szCs w:val="22"/>
        </w:rPr>
        <w:t xml:space="preserve">2.  </w:t>
      </w:r>
      <w:r>
        <w:rPr>
          <w:rFonts w:ascii="Calibri" w:cs="Calibri" w:eastAsia="Calibri" w:hAnsi="Calibri"/>
          <w:sz w:val="22"/>
          <w:szCs w:val="22"/>
        </w:rPr>
        <w:t xml:space="preserve">Data Minimisation (§4) is formally documented with per-field justification;</w:t>
      </w:r>
    </w:p>
    <w:p>
      <w:pPr>
        <w:spacing w:after="120" w:line="300"/>
        <w:jc w:val="both"/>
      </w:pPr>
      <w:r>
        <w:rPr>
          <w:rFonts w:ascii="Calibri" w:cs="Calibri" w:eastAsia="Calibri" w:hAnsi="Calibri"/>
          <w:b/>
          <w:bCs/>
          <w:sz w:val="22"/>
          <w:szCs w:val="22"/>
        </w:rPr>
        <w:t xml:space="preserve">3.  </w:t>
      </w:r>
      <w:r>
        <w:rPr>
          <w:rFonts w:ascii="Calibri" w:cs="Calibri" w:eastAsia="Calibri" w:hAnsi="Calibri"/>
          <w:sz w:val="22"/>
          <w:szCs w:val="22"/>
        </w:rPr>
        <w:t xml:space="preserve">Data Subject Rights (§7) including Right to Erasure are supported by operational procedures;</w:t>
      </w:r>
    </w:p>
    <w:p>
      <w:pPr>
        <w:spacing w:after="120" w:line="300"/>
        <w:jc w:val="both"/>
      </w:pPr>
      <w:r>
        <w:rPr>
          <w:rFonts w:ascii="Calibri" w:cs="Calibri" w:eastAsia="Calibri" w:hAnsi="Calibri"/>
          <w:b/>
          <w:bCs/>
          <w:sz w:val="22"/>
          <w:szCs w:val="22"/>
        </w:rPr>
        <w:t xml:space="preserve">4.  </w:t>
      </w:r>
      <w:r>
        <w:rPr>
          <w:rFonts w:ascii="Calibri" w:cs="Calibri" w:eastAsia="Calibri" w:hAnsi="Calibri"/>
          <w:sz w:val="22"/>
          <w:szCs w:val="22"/>
        </w:rPr>
        <w:t xml:space="preserve">Retention Policy (§8) is calibrated to legal obligations and data minimisation principle;</w:t>
      </w:r>
    </w:p>
    <w:p>
      <w:pPr>
        <w:spacing w:after="120" w:line="300"/>
        <w:jc w:val="both"/>
      </w:pPr>
      <w:r>
        <w:rPr>
          <w:rFonts w:ascii="Calibri" w:cs="Calibri" w:eastAsia="Calibri" w:hAnsi="Calibri"/>
          <w:b/>
          <w:bCs/>
          <w:sz w:val="22"/>
          <w:szCs w:val="22"/>
        </w:rPr>
        <w:t xml:space="preserve">5.  </w:t>
      </w:r>
      <w:r>
        <w:rPr>
          <w:rFonts w:ascii="Calibri" w:cs="Calibri" w:eastAsia="Calibri" w:hAnsi="Calibri"/>
          <w:sz w:val="22"/>
          <w:szCs w:val="22"/>
        </w:rPr>
        <w:t xml:space="preserve">Sub-processor register (§2.5) confirms all processing within EEA; no SCCs required;</w:t>
      </w:r>
    </w:p>
    <w:p>
      <w:pPr>
        <w:spacing w:after="120" w:line="300"/>
        <w:jc w:val="both"/>
      </w:pPr>
      <w:r>
        <w:rPr>
          <w:rFonts w:ascii="Calibri" w:cs="Calibri" w:eastAsia="Calibri" w:hAnsi="Calibri"/>
          <w:b/>
          <w:bCs/>
          <w:sz w:val="22"/>
          <w:szCs w:val="22"/>
        </w:rPr>
        <w:t xml:space="preserve">6.  </w:t>
      </w:r>
      <w:r>
        <w:rPr>
          <w:rFonts w:ascii="Calibri" w:cs="Calibri" w:eastAsia="Calibri" w:hAnsi="Calibri"/>
          <w:sz w:val="22"/>
          <w:szCs w:val="22"/>
        </w:rPr>
        <w:t xml:space="preserve">Records of Processing Activities pursuant to Article 30 GDPR are maintained (Appendix A);</w:t>
      </w:r>
    </w:p>
    <w:p>
      <w:pPr>
        <w:spacing w:after="120" w:line="300"/>
        <w:jc w:val="both"/>
      </w:pPr>
      <w:r>
        <w:rPr>
          <w:rFonts w:ascii="Calibri" w:cs="Calibri" w:eastAsia="Calibri" w:hAnsi="Calibri"/>
          <w:b/>
          <w:bCs/>
          <w:sz w:val="22"/>
          <w:szCs w:val="22"/>
        </w:rPr>
        <w:t xml:space="preserve">7.  </w:t>
      </w:r>
      <w:r>
        <w:rPr>
          <w:rFonts w:ascii="Calibri" w:cs="Calibri" w:eastAsia="Calibri" w:hAnsi="Calibri"/>
          <w:sz w:val="22"/>
          <w:szCs w:val="22"/>
        </w:rPr>
        <w:t xml:space="preserve">Residual risk is LOW; Article 36 prior consultation NOT required.</w:t>
      </w:r>
    </w:p>
    <w:p>
      <w:pPr>
        <w:spacing w:before="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6"/>
              <w:left w:val="single" w:color="059669" w:sz="16"/>
              <w:bottom w:val="single" w:color="059669" w:sz="4"/>
              <w:right w:val="single" w:color="059669" w:sz="4"/>
            </w:tcBorders>
            <w:shd w:fill="F1F5F9" w:val="clear"/>
            <w:tcMar>
              <w:top w:type="dxa" w:w="200"/>
              <w:left w:type="dxa" w:w="280"/>
              <w:bottom w:type="dxa" w:w="200"/>
              <w:right w:type="dxa" w:w="280"/>
            </w:tcMar>
          </w:tcPr>
          <w:p>
            <w:pPr>
              <w:spacing w:after="100"/>
            </w:pPr>
            <w:r>
              <w:rPr>
                <w:rFonts w:ascii="Calibri" w:cs="Calibri" w:eastAsia="Calibri" w:hAnsi="Calibri"/>
                <w:b/>
                <w:bCs/>
                <w:color w:val="059669"/>
                <w:sz w:val="22"/>
                <w:szCs w:val="22"/>
              </w:rPr>
              <w:t xml:space="preserve">FINAL DETERMINATION</w:t>
            </w:r>
          </w:p>
          <w:p>
            <w:pPr>
              <w:jc w:val="both"/>
            </w:pPr>
            <w:r>
              <w:rPr>
                <w:rFonts w:ascii="Calibri" w:cs="Calibri" w:eastAsia="Calibri" w:hAnsi="Calibri"/>
                <w:color w:val="0F172A"/>
                <w:sz w:val="20"/>
                <w:szCs w:val="20"/>
              </w:rPr>
              <w:t xml:space="preserve">The Next2View Legal Vault is APPROVED for production use handling commercial contracts of all sensitivity levels. This Enhanced Edition (v1.1) represents a regulator-ready documentation package that addresses both technical and organisational dimensions of GDPR compliance.</w:t>
            </w:r>
          </w:p>
        </w:tc>
      </w:tr>
    </w:tbl>
    <w:p>
      <w:pPr>
        <w:spacing w:before="360"/>
      </w:pPr>
    </w:p>
    <w:p>
      <w:pPr>
        <w:pStyle w:val="Heading2"/>
        <w:spacing w:after="180" w:before="360"/>
      </w:pPr>
      <w:r>
        <w:rPr>
          <w:rFonts w:ascii="Calibri" w:cs="Calibri" w:eastAsia="Calibri" w:hAnsi="Calibri"/>
          <w:b/>
          <w:bCs/>
          <w:color w:val="0F172A"/>
          <w:sz w:val="26"/>
          <w:szCs w:val="26"/>
        </w:rPr>
        <w:t xml:space="preserve">12.1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Data Controller</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Data Protection Officer</w:t>
            </w:r>
          </w:p>
        </w:tc>
      </w:tr>
      <w:tr>
        <w:tc>
          <w:tcPr>
            <w:tcW w:type="dxa" w:w="4680"/>
            <w:tcBorders>
              <w:top w:val="single" w:color="CBD5E1" w:sz="4"/>
              <w:left w:val="single" w:color="CBD5E1" w:sz="4"/>
              <w:bottom w:val="single" w:color="CBD5E1" w:sz="4"/>
              <w:right w:val="single" w:color="CBD5E1" w:sz="4"/>
            </w:tcBorders>
            <w:tcMar>
              <w:top w:type="dxa" w:w="400"/>
              <w:left w:type="dxa" w:w="140"/>
              <w:bottom w:type="dxa" w:w="400"/>
              <w:right w:type="dxa" w:w="140"/>
            </w:tcMar>
          </w:tcPr>
          <w:p>
            <w:pPr>
              <w:spacing w:after="400"/>
            </w:pPr>
            <w:r>
              <w:rPr>
                <w:rFonts w:ascii="Calibri" w:cs="Calibri" w:eastAsia="Calibri" w:hAnsi="Calibri"/>
                <w:sz w:val="22"/>
                <w:szCs w:val="22"/>
              </w:rPr>
              <w:t xml:space="preserve"/>
            </w:r>
          </w:p>
          <w:p>
            <w:pPr>
              <w:spacing w:after="80"/>
            </w:pPr>
            <w:r>
              <w:rPr>
                <w:rFonts w:ascii="Calibri" w:cs="Calibri" w:eastAsia="Calibri" w:hAnsi="Calibri"/>
                <w:sz w:val="20"/>
                <w:szCs w:val="20"/>
              </w:rPr>
              <w:t xml:space="preserve">Name: Apostolos Kagelaris</w:t>
            </w:r>
          </w:p>
          <w:p>
            <w:pPr>
              <w:spacing w:after="80"/>
            </w:pPr>
            <w:r>
              <w:rPr>
                <w:rFonts w:ascii="Calibri" w:cs="Calibri" w:eastAsia="Calibri" w:hAnsi="Calibri"/>
                <w:sz w:val="20"/>
                <w:szCs w:val="20"/>
              </w:rPr>
              <w:t xml:space="preserve">Title: Chief Executive Officer</w:t>
            </w:r>
          </w:p>
          <w:p>
            <w:pPr>
              <w:spacing w:after="80"/>
            </w:pPr>
            <w:r>
              <w:rPr>
                <w:rFonts w:ascii="Calibri" w:cs="Calibri" w:eastAsia="Calibri" w:hAnsi="Calibri"/>
                <w:sz w:val="20"/>
                <w:szCs w:val="20"/>
              </w:rPr>
              <w:t xml:space="preserve">Date: 24 April 2026</w:t>
            </w:r>
          </w:p>
          <w:p>
            <w:pPr>
              <w:spacing w:after="80"/>
            </w:pPr>
            <w:r>
              <w:rPr>
                <w:rFonts w:ascii="Calibri" w:cs="Calibri" w:eastAsia="Calibri" w:hAnsi="Calibri"/>
                <w:sz w:val="20"/>
                <w:szCs w:val="20"/>
              </w:rPr>
              <w:t xml:space="preserve">Signature: _______________________</w:t>
            </w:r>
          </w:p>
        </w:tc>
        <w:tc>
          <w:tcPr>
            <w:tcW w:type="dxa" w:w="4680"/>
            <w:tcBorders>
              <w:top w:val="single" w:color="CBD5E1" w:sz="4"/>
              <w:left w:val="single" w:color="CBD5E1" w:sz="4"/>
              <w:bottom w:val="single" w:color="CBD5E1" w:sz="4"/>
              <w:right w:val="single" w:color="CBD5E1" w:sz="4"/>
            </w:tcBorders>
            <w:tcMar>
              <w:top w:type="dxa" w:w="400"/>
              <w:left w:type="dxa" w:w="140"/>
              <w:bottom w:type="dxa" w:w="400"/>
              <w:right w:type="dxa" w:w="140"/>
            </w:tcMar>
          </w:tcPr>
          <w:p>
            <w:pPr>
              <w:spacing w:after="400"/>
            </w:pPr>
            <w:r>
              <w:rPr>
                <w:rFonts w:ascii="Calibri" w:cs="Calibri" w:eastAsia="Calibri" w:hAnsi="Calibri"/>
                <w:sz w:val="22"/>
                <w:szCs w:val="22"/>
              </w:rPr>
              <w:t xml:space="preserve"/>
            </w:r>
          </w:p>
          <w:p>
            <w:pPr>
              <w:spacing w:after="80"/>
            </w:pPr>
            <w:r>
              <w:rPr>
                <w:rFonts w:ascii="Calibri" w:cs="Calibri" w:eastAsia="Calibri" w:hAnsi="Calibri"/>
                <w:sz w:val="20"/>
                <w:szCs w:val="20"/>
              </w:rPr>
              <w:t xml:space="preserve">Name: _______________________</w:t>
            </w:r>
          </w:p>
          <w:p>
            <w:pPr>
              <w:spacing w:after="80"/>
            </w:pPr>
            <w:r>
              <w:rPr>
                <w:rFonts w:ascii="Calibri" w:cs="Calibri" w:eastAsia="Calibri" w:hAnsi="Calibri"/>
                <w:sz w:val="20"/>
                <w:szCs w:val="20"/>
              </w:rPr>
              <w:t xml:space="preserve">Title: Data Protection Officer</w:t>
            </w:r>
          </w:p>
          <w:p>
            <w:pPr>
              <w:spacing w:after="80"/>
            </w:pPr>
            <w:r>
              <w:rPr>
                <w:rFonts w:ascii="Calibri" w:cs="Calibri" w:eastAsia="Calibri" w:hAnsi="Calibri"/>
                <w:sz w:val="20"/>
                <w:szCs w:val="20"/>
              </w:rPr>
              <w:t xml:space="preserve">Date: _______________________</w:t>
            </w:r>
          </w:p>
          <w:p>
            <w:pPr>
              <w:spacing w:after="80"/>
            </w:pPr>
            <w:r>
              <w:rPr>
                <w:rFonts w:ascii="Calibri" w:cs="Calibri" w:eastAsia="Calibri" w:hAnsi="Calibri"/>
                <w:sz w:val="20"/>
                <w:szCs w:val="20"/>
              </w:rPr>
              <w:t xml:space="preserve">Signature: _______________________</w:t>
            </w:r>
          </w:p>
        </w:tc>
      </w:tr>
    </w:tbl>
    <w:p>
      <w:r>
        <w:br w:type="page"/>
      </w:r>
    </w:p>
    <w:p>
      <w:pPr>
        <w:pStyle w:val="Heading1"/>
        <w:spacing w:after="240" w:before="480"/>
      </w:pPr>
      <w:r>
        <w:rPr>
          <w:rFonts w:ascii="Calibri" w:cs="Calibri" w:eastAsia="Calibri" w:hAnsi="Calibri"/>
          <w:b/>
          <w:bCs/>
          <w:color w:val="1E3A8A"/>
          <w:sz w:val="32"/>
          <w:szCs w:val="32"/>
        </w:rPr>
        <w:t xml:space="preserve">Appendix A — Records of Processing Activities</w:t>
      </w:r>
    </w:p>
    <w:p>
      <w:pPr>
        <w:spacing w:after="120" w:line="300"/>
        <w:jc w:val="both"/>
      </w:pPr>
      <w:r>
        <w:rPr>
          <w:rFonts w:ascii="Calibri" w:cs="Calibri" w:eastAsia="Calibri" w:hAnsi="Calibri"/>
          <w:sz w:val="22"/>
          <w:szCs w:val="22"/>
        </w:rPr>
        <w:t xml:space="preserve">Pursuant to Article 30 GDPR, the Data Controller maintains the following register of processing activities. This register is updated promptly upon any material change to processing operations.</w:t>
      </w:r>
    </w:p>
    <w:p>
      <w:pPr>
        <w:pStyle w:val="Heading2"/>
        <w:spacing w:after="180" w:before="360"/>
      </w:pPr>
      <w:r>
        <w:rPr>
          <w:rFonts w:ascii="Calibri" w:cs="Calibri" w:eastAsia="Calibri" w:hAnsi="Calibri"/>
          <w:b/>
          <w:bCs/>
          <w:color w:val="0F172A"/>
          <w:sz w:val="26"/>
          <w:szCs w:val="26"/>
        </w:rPr>
        <w:t xml:space="preserve">A.1 Controller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Controller Name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Next2me Group</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Representative</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Apostolos Kagelaris, CEO</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Contact (DPO)</w:t>
            </w:r>
          </w:p>
        </w:tc>
        <w:tc>
          <w:tcPr>
            <w:tcW w:type="dxa" w:w="624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dpo@next2me.com</w:t>
            </w:r>
          </w:p>
        </w:tc>
      </w:tr>
    </w:tbl>
    <w:p>
      <w:pPr>
        <w:spacing w:before="240"/>
      </w:pPr>
    </w:p>
    <w:p>
      <w:pPr>
        <w:pStyle w:val="Heading2"/>
        <w:spacing w:after="180" w:before="360"/>
      </w:pPr>
      <w:r>
        <w:rPr>
          <w:rFonts w:ascii="Calibri" w:cs="Calibri" w:eastAsia="Calibri" w:hAnsi="Calibri"/>
          <w:b/>
          <w:bCs/>
          <w:color w:val="0F172A"/>
          <w:sz w:val="26"/>
          <w:szCs w:val="26"/>
        </w:rPr>
        <w:t xml:space="preserve">A.2 Processing Activity: Legal Contract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Purpose</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Secure storage and management of executed commercial contracts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Categories of Subjects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Contracting parties (directors, officers, signatories, beneficial owners)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Categories of Data</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Identity (names, IDs, signatures); Contact; Financial (bank details, amounts); Professional</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Recipients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Authorised Next2me Group employees with viewLegal permission; no third-party disclosures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Transfers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NONE — all processing within EEA (Ireland primary, Netherlands DR)</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Retention</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10 years post-completion (commercial) / 20 years (employment) / per §8.1 matrix</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Security Measures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5-layer defence (see §5); AES-256-GCM + RSA-OAEP-256 CMK + MFA + RBAC</w:t>
            </w:r>
          </w:p>
        </w:tc>
      </w:tr>
    </w:tbl>
    <w:p>
      <w:pPr>
        <w:spacing w:before="240"/>
      </w:pPr>
    </w:p>
    <w:p>
      <w:pPr>
        <w:pStyle w:val="Heading2"/>
        <w:spacing w:after="180" w:before="360"/>
      </w:pPr>
      <w:r>
        <w:rPr>
          <w:rFonts w:ascii="Calibri" w:cs="Calibri" w:eastAsia="Calibri" w:hAnsi="Calibri"/>
          <w:b/>
          <w:bCs/>
          <w:color w:val="0F172A"/>
          <w:sz w:val="26"/>
          <w:szCs w:val="26"/>
        </w:rPr>
        <w:t xml:space="preserve">A.3 Processing Activity: Platform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Purpose</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Authentication, authorisation, and activity attribution for platform users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Categories of Subjects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Next2me Group employees with platform access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Categories of Data</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Email, name, BCrypt password hash, TOTP secret, role, permissions, company scope</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Recipients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HR (for account provisioning); IT Administration (CEO); no external recipients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Transfers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NONE</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Retention</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Duration of employment + 90 days; hard delete thereafter</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Security Measures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BCrypt(12) hashing; TOTP MFA; JWT RS256; account lockout after 5 failed attempts</w:t>
            </w:r>
          </w:p>
        </w:tc>
      </w:tr>
    </w:tbl>
    <w:p>
      <w:pPr>
        <w:spacing w:before="240"/>
      </w:pPr>
    </w:p>
    <w:p>
      <w:pPr>
        <w:pStyle w:val="Heading2"/>
        <w:spacing w:after="180" w:before="360"/>
      </w:pPr>
      <w:r>
        <w:rPr>
          <w:rFonts w:ascii="Calibri" w:cs="Calibri" w:eastAsia="Calibri" w:hAnsi="Calibri"/>
          <w:b/>
          <w:bCs/>
          <w:color w:val="0F172A"/>
          <w:sz w:val="26"/>
          <w:szCs w:val="26"/>
        </w:rPr>
        <w:t xml:space="preserve">A.4 Processing Activity: Security &amp; Audit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Purpose</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Security monitoring, incident detection, fraud prevention, compliance evidence</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Categories of Subjects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Platform users (authenticated sessions + administrative actions)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Categories of Data</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User ID (UUID), timestamp, action code, target resource ID, source IP address</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Lawful Basis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Article 6(1)(f) — Legitimate Interests (security); LIA completed and documented</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Retention</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7 years (aligned with Greek tax law and ISO 27001 A.8.15)</w:t>
            </w:r>
          </w:p>
        </w:tc>
      </w:tr>
      <w:tr>
        <w:tc>
          <w:tcPr>
            <w:tcW w:type="dxa" w:w="260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pPr>
              <w:jc w:val="left"/>
            </w:pPr>
            <w:r>
              <w:rPr>
                <w:rFonts w:ascii="Calibri" w:cs="Calibri" w:eastAsia="Calibri" w:hAnsi="Calibri"/>
                <w:b/>
                <w:bCs/>
                <w:color w:val="0F172A"/>
                <w:sz w:val="20"/>
                <w:szCs w:val="20"/>
              </w:rPr>
              <w:t xml:space="preserve">Security Measures</w:t>
            </w:r>
          </w:p>
        </w:tc>
        <w:tc>
          <w:tcPr>
            <w:tcW w:type="dxa" w:w="6760"/>
            <w:tcBorders>
              <w:top w:val="single" w:color="CBD5E1" w:sz="4"/>
              <w:left w:val="single" w:color="CBD5E1" w:sz="4"/>
              <w:bottom w:val="single" w:color="CBD5E1" w:sz="4"/>
              <w:right w:val="single" w:color="CBD5E1" w:sz="4"/>
            </w:tcBorders>
            <w:tcMar>
              <w:top w:type="dxa" w:w="100"/>
              <w:left w:type="dxa" w:w="140"/>
              <w:bottom w:type="dxa" w:w="100"/>
              <w:right w:type="dxa" w:w="140"/>
            </w:tcMar>
          </w:tcPr>
          <w:p>
            <w:pPr>
              <w:jc w:val="left"/>
            </w:pPr>
            <w:r>
              <w:rPr>
                <w:rFonts w:ascii="Calibri" w:cs="Calibri" w:eastAsia="Calibri" w:hAnsi="Calibri"/>
                <w:b w:val="false"/>
                <w:bCs w:val="false"/>
                <w:color w:val="0F172A"/>
                <w:sz w:val="20"/>
                <w:szCs w:val="20"/>
              </w:rPr>
              <w:t xml:space="preserve">Write-once append-only; integrity checks; no PII in payloads; no passwords/tokens</w:t>
            </w:r>
          </w:p>
        </w:tc>
      </w:tr>
    </w:tbl>
    <w:p>
      <w:pPr>
        <w:spacing w:before="480"/>
      </w:pPr>
    </w:p>
    <w:p>
      <w:pPr>
        <w:spacing w:after="120" w:line="300"/>
        <w:jc w:val="both"/>
      </w:pPr>
      <w:r>
        <w:rPr>
          <w:rFonts w:ascii="Calibri" w:cs="Calibri" w:eastAsia="Calibri" w:hAnsi="Calibri"/>
          <w:i/>
          <w:iCs/>
          <w:color w:val="475569"/>
          <w:sz w:val="22"/>
          <w:szCs w:val="22"/>
        </w:rPr>
        <w:t xml:space="preserve">— END OF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r>
      <w:rPr>
        <w:rFonts w:ascii="Calibri" w:cs="Calibri" w:eastAsia="Calibri" w:hAnsi="Calibri"/>
        <w:color w:val="475569"/>
        <w:sz w:val="16"/>
        <w:szCs w:val="16"/>
      </w:rPr>
      <w:t xml:space="preserve"> of </w:t>
    </w:r>
    <w:r>
      <w:rPr>
        <w:rFonts w:ascii="Calibri" w:cs="Calibri" w:eastAsia="Calibri" w:hAnsi="Calibri"/>
        <w:color w:val="475569"/>
        <w:sz w:val="16"/>
        <w:szCs w:val="16"/>
      </w:rPr>
      <w:fldChar w:fldCharType="begin"/>
      <w:instrText xml:space="preserve">NUMPAGES</w:instrText>
      <w:fldChar w:fldCharType="separate"/>
      <w:fldChar w:fldCharType="end"/>
    </w:r>
    <w:r>
      <w:rPr>
        <w:rFonts w:ascii="Calibri" w:cs="Calibri" w:eastAsia="Calibri" w:hAnsi="Calibri"/>
        <w:color w:val="475569"/>
        <w:sz w:val="16"/>
        <w:szCs w:val="16"/>
      </w:rPr>
      <w:t xml:space="preserve">   |   © 2026 Next2me Group.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NEXT2ME GROUP  |  </w:t>
    </w:r>
    <w:r>
      <w:rPr>
        <w:rFonts w:ascii="Calibri" w:cs="Calibri" w:eastAsia="Calibri" w:hAnsi="Calibri"/>
        <w:b/>
        <w:bCs/>
        <w:color w:val="1E3A8A"/>
        <w:sz w:val="16"/>
        <w:szCs w:val="16"/>
      </w:rPr>
      <w:t xml:space="preserve">CONFIDENTIAL — DPIA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E3A8A"/>
      <w:sz w:val="32"/>
      <w:szCs w:val="32"/>
    </w:rPr>
  </w:style>
  <w:style w:type="paragraph" w:styleId="Heading2">
    <w:name w:val="Heading 2"/>
    <w:basedOn w:val="Normal"/>
    <w:next w:val="Normal"/>
    <w:qFormat/>
    <w:pPr>
      <w:spacing w:after="180" w:before="360"/>
      <w:outlineLvl w:val="1"/>
    </w:pPr>
    <w:rPr>
      <w:rFonts w:ascii="Calibri" w:cs="Calibri" w:eastAsia="Calibri" w:hAnsi="Calibri"/>
      <w:b/>
      <w:bCs/>
      <w:color w:val="0F172A"/>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Protection Impact Assessment v1.1 — Next2View Legal Vault</dc:title>
  <dc:creator>Next2me Group — Apostolos Kagelaris</dc:creator>
  <dc:description>DPIA pursuant to Article 35 GDPR — Enhanced Edition</dc:description>
  <cp:lastModifiedBy>Un-named</cp:lastModifiedBy>
  <cp:revision>1</cp:revision>
  <dcterms:created xsi:type="dcterms:W3CDTF">2026-04-24T21:28:03.757Z</dcterms:created>
  <dcterms:modified xsi:type="dcterms:W3CDTF">2026-04-24T21:28:03.758Z</dcterms:modified>
</cp:coreProperties>
</file>

<file path=docProps/custom.xml><?xml version="1.0" encoding="utf-8"?>
<Properties xmlns="http://schemas.openxmlformats.org/officeDocument/2006/custom-properties" xmlns:vt="http://schemas.openxmlformats.org/officeDocument/2006/docPropsVTypes"/>
</file>