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РОССИЙСКОЙ ФЕДЕРАЦИИ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«Московский государственный технический университет имени Н.Э. Баумана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(национальный исследовательский университет)»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ВЫПУСКНАЯ КВАЛИФИКАЦИОННАЯ РАБОТА 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курсу 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«Data Science»</w:t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bookmarkStart w:colFirst="0" w:colLast="0" w:name="_3rdcrjn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</w:t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Прогнозирование конечных свойств новых материалов</w:t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(композиционных материалов)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Слушатель</w:t>
        <w:tab/>
        <w:tab/>
        <w:tab/>
        <w:tab/>
        <w:tab/>
        <w:t xml:space="preserve">Никитин Иван Сергеевич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(ФИО)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3240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3240"/>
        </w:tabs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3240"/>
        </w:tabs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3240"/>
        </w:tabs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3240"/>
        </w:tabs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2023</w:t>
      </w:r>
    </w:p>
    <w:p w:rsidR="00000000" w:rsidDel="00000000" w:rsidP="00000000" w:rsidRDefault="00000000" w:rsidRPr="00000000" w14:paraId="0000001F">
      <w:pPr>
        <w:tabs>
          <w:tab w:val="left" w:leader="none" w:pos="3240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Содержание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0">
      <w:pPr>
        <w:tabs>
          <w:tab w:val="left" w:leader="none" w:pos="3240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3240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tabs>
          <w:tab w:val="left" w:leader="none" w:pos="3240"/>
        </w:tabs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Введение</w:t>
        <w:tab/>
        <w:tab/>
        <w:tab/>
        <w:tab/>
        <w:tab/>
        <w:tab/>
        <w:tab/>
        <w:tab/>
        <w:t xml:space="preserve">3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40"/>
        </w:tabs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Глава 1. Аналитическая часть.</w:t>
        <w:tab/>
        <w:tab/>
        <w:tab/>
        <w:tab/>
        <w:tab/>
        <w:t xml:space="preserve">4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tabs>
          <w:tab w:val="left" w:leader="none" w:pos="3240"/>
        </w:tabs>
        <w:spacing w:line="360" w:lineRule="auto"/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Раздел 2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tabs>
          <w:tab w:val="left" w:leader="none" w:pos="3240"/>
        </w:tabs>
        <w:spacing w:line="360" w:lineRule="auto"/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Раздел 3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tabs>
          <w:tab w:val="left" w:leader="none" w:pos="3240"/>
        </w:tabs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tabs>
          <w:tab w:val="left" w:leader="none" w:pos="3240"/>
        </w:tabs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Библиографический список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tabs>
          <w:tab w:val="left" w:leader="none" w:pos="3240"/>
        </w:tabs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Приложения</w:t>
      </w:r>
    </w:p>
    <w:p w:rsidR="00000000" w:rsidDel="00000000" w:rsidP="00000000" w:rsidRDefault="00000000" w:rsidRPr="00000000" w14:paraId="00000029">
      <w:pPr>
        <w:tabs>
          <w:tab w:val="left" w:leader="none" w:pos="3240"/>
        </w:tabs>
        <w:spacing w:line="360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3240"/>
        </w:tabs>
        <w:spacing w:line="360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40"/>
        </w:tabs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40"/>
        </w:tabs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Композиционные материалы — это искусственно созданные материалы, состоящие из нескольких других с четкой границей между ними. Композиты обладают теми свойствами, которые не наблюдаются у компонентов по отдельности. При этом композиты являются монолитным материалом, т. е. компоненты материала неотделимы друг от друга без разрушения конструкции в целом. Яркий пример композита - железобетон. Бетон прекрасно сопротивляется сжатию, но плохо растяжению. Стальная арматура внутри бетона компенсирует его неспособность сопротивляться сжатию, формируя тем самым новые, уникальные свойства. Современные композиты изготавливаются из других материалов: полимеры, керамика, стеклянные и углеродные волокна, но данный принцип сохраняется.</w:t>
      </w:r>
    </w:p>
    <w:p w:rsidR="00000000" w:rsidDel="00000000" w:rsidP="00000000" w:rsidRDefault="00000000" w:rsidRPr="00000000" w14:paraId="0000002E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360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Аналитическая часть</w:t>
      </w:r>
    </w:p>
    <w:p w:rsidR="00000000" w:rsidDel="00000000" w:rsidP="00000000" w:rsidRDefault="00000000" w:rsidRPr="00000000" w14:paraId="0000003F">
      <w:pPr>
        <w:spacing w:line="360" w:lineRule="auto"/>
        <w:ind w:left="72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1.1. Постановка задачи</w:t>
      </w:r>
    </w:p>
    <w:p w:rsidR="00000000" w:rsidDel="00000000" w:rsidP="00000000" w:rsidRDefault="00000000" w:rsidRPr="00000000" w14:paraId="00000040">
      <w:pPr>
        <w:spacing w:line="360" w:lineRule="auto"/>
        <w:ind w:left="72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Даже если мы знаем характеристики исходных компонентов композитного материала, определить характеристики композита, состоящего из этих компонентов, достаточно проблематично. Для решения этой проблемы есть два пути: физические испытания образцов материалов, или прогнозирование характеристик. Для проведения физических испытаний образцов тратится много денежных средств и времени. Можно попробовать решить задачу определения конечных свойств композитов путем прогнозирования этих свойств с помощью обученных моделей или нейронных сетей. Суть прогнозирования заключается в симуляции представительного элемента объема композита, на основе данных о характеристиках входящих компонентов (связующего и армирующего компонента).</w:t>
      </w:r>
    </w:p>
    <w:p w:rsidR="00000000" w:rsidDel="00000000" w:rsidP="00000000" w:rsidRDefault="00000000" w:rsidRPr="00000000" w14:paraId="00000042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Созданные прогнозные модели помогут сократить количество проводимых испытаний, а также пополнить базу данных материалов возможными новыми характеристиками материалов, и цифровыми двойниками новых композитов.</w:t>
      </w:r>
    </w:p>
    <w:p w:rsidR="00000000" w:rsidDel="00000000" w:rsidP="00000000" w:rsidRDefault="00000000" w:rsidRPr="00000000" w14:paraId="0000004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решения задачи прогнозирования конечных свойств новых материалов даны два файла в формате в формате exel-таблиц. В файлах представлены свойства композитов (Таблица 1, файл X_bp.xlsx, Таблица 2, файл X_nup.xlsx).</w:t>
      </w:r>
    </w:p>
    <w:p w:rsidR="00000000" w:rsidDel="00000000" w:rsidP="00000000" w:rsidRDefault="00000000" w:rsidRPr="00000000" w14:paraId="00000044">
      <w:pPr>
        <w:spacing w:line="360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Таблица1</w:t>
      </w:r>
    </w:p>
    <w:tbl>
      <w:tblPr>
        <w:tblStyle w:val="Table1"/>
        <w:tblW w:w="9090.000000000002" w:type="dxa"/>
        <w:jc w:val="left"/>
        <w:tblInd w:w="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5"/>
        <w:gridCol w:w="853.5000000000001"/>
        <w:gridCol w:w="853.5000000000001"/>
        <w:gridCol w:w="853.5000000000001"/>
        <w:gridCol w:w="853.5000000000001"/>
        <w:gridCol w:w="853.5000000000001"/>
        <w:gridCol w:w="853.5000000000001"/>
        <w:gridCol w:w="853.5000000000001"/>
        <w:gridCol w:w="853.5000000000001"/>
        <w:gridCol w:w="853.5000000000001"/>
        <w:gridCol w:w="853.5000000000001"/>
        <w:tblGridChange w:id="0">
          <w:tblGrid>
            <w:gridCol w:w="555"/>
            <w:gridCol w:w="853.5000000000001"/>
            <w:gridCol w:w="853.5000000000001"/>
            <w:gridCol w:w="853.5000000000001"/>
            <w:gridCol w:w="853.5000000000001"/>
            <w:gridCol w:w="853.5000000000001"/>
            <w:gridCol w:w="853.5000000000001"/>
            <w:gridCol w:w="853.5000000000001"/>
            <w:gridCol w:w="853.5000000000001"/>
            <w:gridCol w:w="853.5000000000001"/>
            <w:gridCol w:w="853.5000000000001"/>
          </w:tblGrid>
        </w:tblGridChange>
      </w:tblGrid>
      <w:tr>
        <w:trPr>
          <w:cantSplit w:val="0"/>
          <w:trHeight w:val="1226.8652343749998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Соотношение матрица-наполнитель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Плотность, кг/м3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модуль упругости, ГПа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Количество отвердителя, м.%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Содержание эпоксидных групп,%_2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Температура вспышки, С_2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Поверхностная плотность, г/м2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Модуль упругости при растяжении, ГПа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Прочность при растяжении, МПа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Потребление смолы, г/м2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1,857142857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738,7368421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22,26785714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220</w:t>
            </w:r>
          </w:p>
        </w:tc>
      </w:tr>
      <w:tr>
        <w:trPr>
          <w:cantSplit w:val="0"/>
          <w:trHeight w:val="3.9550781249998934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1,857142857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738,7368421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23,75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284,6153846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…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…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…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…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…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…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…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…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…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…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07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файле X_bp.xlsx 1023 элемента, в файле X_nup.xlsx 1040 элементов. Таблицы были объединены в одну методом INNER по индексу элемента. После объединения таблиц, количество элементов в рассматриваемом датасете составило 1023, а количество параметров равно 13. Далее было проверено наличие пропусков и дубликатов в рассматриваемом датасете (Рисунок 1). Дубликатов и пропусков не обнаружено.</w:t>
      </w:r>
    </w:p>
    <w:p w:rsidR="00000000" w:rsidDel="00000000" w:rsidP="00000000" w:rsidRDefault="00000000" w:rsidRPr="00000000" w14:paraId="00000073">
      <w:pPr>
        <w:spacing w:line="360" w:lineRule="auto"/>
        <w:ind w:lef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2.</w:t>
      </w:r>
    </w:p>
    <w:tbl>
      <w:tblPr>
        <w:tblStyle w:val="Table2"/>
        <w:tblW w:w="9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80"/>
        <w:gridCol w:w="2280"/>
        <w:gridCol w:w="2280"/>
        <w:gridCol w:w="2280"/>
        <w:tblGridChange w:id="0">
          <w:tblGrid>
            <w:gridCol w:w="2280"/>
            <w:gridCol w:w="2280"/>
            <w:gridCol w:w="2280"/>
            <w:gridCol w:w="228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Угол нашивки, град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Шаг нашивки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Плотность нашивки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…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…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…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084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314825" cy="38195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81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1 - Поиск пропусков и дубликатов в данных</w:t>
      </w:r>
    </w:p>
    <w:p w:rsidR="00000000" w:rsidDel="00000000" w:rsidP="00000000" w:rsidRDefault="00000000" w:rsidRPr="00000000" w14:paraId="00000087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664.8425196850417" w:top="1133.8582677165355" w:left="1440" w:right="832.2047244094489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3886200</wp:posOffset>
          </wp:positionH>
          <wp:positionV relativeFrom="paragraph">
            <wp:posOffset>-457199</wp:posOffset>
          </wp:positionV>
          <wp:extent cx="2724150" cy="742950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24150" cy="7429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