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0C4FD1"/>
          <w:sz w:val="40"/>
          <w:szCs w:val="40"/>
        </w:rPr>
        <w:t xml:space="preserve">Feedback for Haidar Saleh</w:t>
      </w:r>
    </w:p>
    <w:p>
      <w:pPr>
        <w:spacing w:after="300"/>
      </w:pPr>
      <w:r>
        <w:rPr>
          <w:i/>
          <w:iCs/>
          <w:color w:val="555555"/>
          <w:sz w:val="22"/>
          <w:szCs w:val="22"/>
        </w:rPr>
        <w:t xml:space="preserve">1:1 review with Abubeckr Elcharfa — Aug 17, 2026 · Marketing site (dexaposai.com) walkthrough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0FE" w:val="clear"/>
            <w:tcMar>
              <w:top w:type="dxa" w:w="140"/>
              <w:left w:type="dxa" w:w="200"/>
              <w:bottom w:type="dxa" w:w="140"/>
              <w:right w:type="dxa" w:w="200"/>
            </w:tcMar>
          </w:tcPr>
          <w:p>
            <w:pPr>
              <w:spacing w:after="40"/>
            </w:pPr>
            <w:r>
              <w:rPr>
                <w:b/>
                <w:bCs/>
                <w:color w:val="0C4FD1"/>
                <w:sz w:val="20"/>
                <w:szCs w:val="20"/>
              </w:rPr>
              <w:t xml:space="preserve">Context</w:t>
            </w:r>
          </w:p>
          <w:p>
            <w:r>
              <w:rPr>
                <w:color w:val="1A1A1A"/>
                <w:sz w:val="21"/>
                <w:szCs w:val="21"/>
              </w:rPr>
              <w:t xml:space="preserve">Abubeckr screen-shared the live dexaposai.com marketing site and went through it top to bottom with Haidar, calling out specific fixes and animation polish. This doc captures every point raised so it can be worked from directly.</w:t>
            </w:r>
          </w:p>
        </w:tc>
      </w:tr>
    </w:tbl>
    <w:p>
      <w:pPr>
        <w:pStyle w:val="Heading1"/>
        <w:pBdr>
          <w:bottom w:val="single" w:color="0C4FD1" w:sz="6" w:space="4"/>
        </w:pBdr>
        <w:spacing w:after="140" w:before="340"/>
      </w:pPr>
      <w:r>
        <w:rPr>
          <w:b/>
          <w:bCs/>
          <w:color w:val="0C4FD1"/>
          <w:sz w:val="28"/>
          <w:szCs w:val="28"/>
        </w:rPr>
        <w:t xml:space="preserve">1. Bugs to Fix</w:t>
      </w:r>
    </w:p>
    <w:p>
      <w:pPr>
        <w:pStyle w:val="ListParagraph"/>
        <w:numPr>
          <w:ilvl w:val="0"/>
          <w:numId w:val="2"/>
        </w:numPr>
        <w:spacing w:after="80"/>
      </w:pPr>
      <w:r>
        <w:rPr>
          <w:sz w:val="22"/>
          <w:szCs w:val="22"/>
        </w:rPr>
        <w:t xml:space="preserve">Text visibility bug: a block of text was previously rendering invisible/white for no clear reason (cause unknown — confirm it's actually fixed and understand why it happened so it doesn't regress).</w:t>
      </w:r>
    </w:p>
    <w:p>
      <w:pPr>
        <w:pStyle w:val="ListParagraph"/>
        <w:numPr>
          <w:ilvl w:val="0"/>
          <w:numId w:val="2"/>
        </w:numPr>
        <w:spacing w:after="80"/>
      </w:pPr>
      <w:r>
        <w:rPr>
          <w:sz w:val="22"/>
          <w:szCs w:val="22"/>
        </w:rPr>
        <w:t xml:space="preserve">Responsive layout break: at the laptop/mid-width breakpoint, the header text (“Live demo,” “Sign in,” “Request a Demo”) overlaps instead of wrapping cleanly. Looks fine at full width and fine when very narrow, but breaks in between — needs a proper responsive fix across breakpoints.</w:t>
      </w:r>
    </w:p>
    <w:p>
      <w:pPr>
        <w:pStyle w:val="ListParagraph"/>
        <w:numPr>
          <w:ilvl w:val="0"/>
          <w:numId w:val="2"/>
        </w:numPr>
        <w:spacing w:after="80"/>
      </w:pPr>
      <w:r>
        <w:rPr>
          <w:sz w:val="22"/>
          <w:szCs w:val="22"/>
        </w:rPr>
        <w:t xml:space="preserve">Elements should be centered, not left-aligned, where currently misaligned (called out on the same header area).</w:t>
      </w:r>
    </w:p>
    <w:p>
      <w:pPr>
        <w:pStyle w:val="Heading1"/>
        <w:pBdr>
          <w:bottom w:val="single" w:color="0C4FD1" w:sz="6" w:space="4"/>
        </w:pBdr>
        <w:spacing w:after="140" w:before="340"/>
      </w:pPr>
      <w:r>
        <w:rPr>
          <w:b/>
          <w:bCs/>
          <w:color w:val="0C4FD1"/>
          <w:sz w:val="28"/>
          <w:szCs w:val="28"/>
        </w:rPr>
        <w:t xml:space="preserve">2. Animation &amp; Motion Polish</w:t>
      </w:r>
    </w:p>
    <w:p>
      <w:pPr>
        <w:pStyle w:val="ListParagraph"/>
        <w:numPr>
          <w:ilvl w:val="0"/>
          <w:numId w:val="2"/>
        </w:numPr>
        <w:spacing w:after="80"/>
      </w:pPr>
      <w:r>
        <w:rPr>
          <w:sz w:val="22"/>
          <w:szCs w:val="22"/>
        </w:rPr>
        <w:t xml:space="preserve">Add scroll-triggered number count-up animation: stats like “Active Restaurants” should animate from 0 up to their real value (e.g., 1,284) as the section scrolls into view, not just appear as a static number.</w:t>
      </w:r>
    </w:p>
    <w:p>
      <w:pPr>
        <w:pStyle w:val="ListParagraph"/>
        <w:numPr>
          <w:ilvl w:val="0"/>
          <w:numId w:val="3"/>
        </w:numPr>
        <w:spacing w:after="80"/>
      </w:pPr>
      <w:r>
        <w:rPr>
          <w:color w:val="555555"/>
          <w:sz w:val="21"/>
          <w:szCs w:val="21"/>
        </w:rPr>
        <w:t xml:space="preserve">Applies to every stat/metric block on the page — money counters and comparison-section numbers included.</w:t>
      </w:r>
    </w:p>
    <w:p>
      <w:pPr>
        <w:pStyle w:val="ListParagraph"/>
        <w:numPr>
          <w:ilvl w:val="0"/>
          <w:numId w:val="2"/>
        </w:numPr>
        <w:spacing w:after="80"/>
      </w:pPr>
      <w:r>
        <w:rPr>
          <w:sz w:val="22"/>
          <w:szCs w:val="22"/>
        </w:rPr>
        <w:t xml:space="preserve">Add fade-in-on-scroll for components generally, so sections animate in as the user scrolls rather than popping in instantly.</w:t>
      </w:r>
    </w:p>
    <w:p>
      <w:pPr>
        <w:pStyle w:val="ListParagraph"/>
        <w:numPr>
          <w:ilvl w:val="0"/>
          <w:numId w:val="2"/>
        </w:numPr>
        <w:spacing w:after="80"/>
      </w:pPr>
      <w:r>
        <w:rPr>
          <w:sz w:val="22"/>
          <w:szCs w:val="22"/>
        </w:rPr>
        <w:t xml:space="preserve">Fix hover-response delay: current hover interactions have a noticeable ~1 second lag before triggering. Should feel instant/snappy.</w:t>
      </w:r>
    </w:p>
    <w:p>
      <w:pPr>
        <w:pStyle w:val="ListParagraph"/>
        <w:numPr>
          <w:ilvl w:val="0"/>
          <w:numId w:val="2"/>
        </w:numPr>
        <w:spacing w:after="80"/>
      </w:pPr>
      <w:r>
        <w:rPr>
          <w:sz w:val="22"/>
          <w:szCs w:val="22"/>
        </w:rPr>
        <w:t xml:space="preserve">Make the navigation bar sticky: it should follow the user as they scroll down (it currently doesn't), since it holds the “Request a Demo” CTA.</w:t>
      </w:r>
    </w:p>
    <w:p>
      <w:pPr>
        <w:pStyle w:val="ListParagraph"/>
        <w:numPr>
          <w:ilvl w:val="0"/>
          <w:numId w:val="2"/>
        </w:numPr>
        <w:spacing w:after="80"/>
      </w:pPr>
      <w:r>
        <w:rPr>
          <w:sz w:val="22"/>
          <w:szCs w:val="22"/>
        </w:rPr>
        <w:t xml:space="preserve">“Features” section: elements are spaced too tightly together — fix spacing, and add a scroll-triggered fade-in as this section comes into view.</w:t>
      </w:r>
    </w:p>
    <w:p>
      <w:pPr>
        <w:pStyle w:val="ListParagraph"/>
        <w:numPr>
          <w:ilvl w:val="0"/>
          <w:numId w:val="2"/>
        </w:numPr>
        <w:spacing w:after="80"/>
      </w:pPr>
      <w:r>
        <w:rPr>
          <w:sz w:val="22"/>
          <w:szCs w:val="22"/>
        </w:rPr>
        <w:t xml:space="preserve">Accordion / expandable component: replace the current abrupt open/close with a smooth animated open/close transition.</w:t>
      </w:r>
    </w:p>
    <w:p>
      <w:pPr>
        <w:pStyle w:val="ListParagraph"/>
        <w:numPr>
          <w:ilvl w:val="0"/>
          <w:numId w:val="2"/>
        </w:numPr>
        <w:spacing w:after="80"/>
      </w:pPr>
      <w:r>
        <w:rPr>
          <w:sz w:val="22"/>
          <w:szCs w:val="22"/>
        </w:rPr>
        <w:t xml:space="preserve">Industries section: add scroll-triggered fade-in animation, matching the treatment used elsewhere.</w:t>
      </w:r>
    </w:p>
    <w:p>
      <w:pPr>
        <w:pStyle w:val="ListParagraph"/>
        <w:numPr>
          <w:ilvl w:val="0"/>
          <w:numId w:val="2"/>
        </w:numPr>
        <w:spacing w:after="80"/>
      </w:pPr>
      <w:r>
        <w:rPr>
          <w:sz w:val="22"/>
          <w:szCs w:val="22"/>
        </w:rPr>
        <w:t xml:space="preserve">“Request a Demo” section: should fade in on scroll as well.</w:t>
      </w:r>
    </w:p>
    <w:p>
      <w:pPr>
        <w:pStyle w:val="ListParagraph"/>
        <w:numPr>
          <w:ilvl w:val="0"/>
          <w:numId w:val="2"/>
        </w:numPr>
        <w:spacing w:after="80"/>
      </w:pPr>
      <w:r>
        <w:rPr>
          <w:sz w:val="22"/>
          <w:szCs w:val="22"/>
        </w:rPr>
        <w:t xml:space="preserve">Dual pricing / comparison section: apply the same count-up number animation used elsewhere on the page.</w:t>
      </w:r>
    </w:p>
    <w:p>
      <w:pPr>
        <w:pStyle w:val="Heading1"/>
        <w:pBdr>
          <w:bottom w:val="single" w:color="0C4FD1" w:sz="6" w:space="4"/>
        </w:pBdr>
        <w:spacing w:after="140" w:before="340"/>
      </w:pPr>
      <w:r>
        <w:rPr>
          <w:b/>
          <w:bCs/>
          <w:color w:val="0C4FD1"/>
          <w:sz w:val="28"/>
          <w:szCs w:val="28"/>
        </w:rPr>
        <w:t xml:space="preserve">3. Color Consistency</w:t>
      </w:r>
    </w:p>
    <w:p>
      <w:pPr>
        <w:pStyle w:val="ListParagraph"/>
        <w:numPr>
          <w:ilvl w:val="0"/>
          <w:numId w:val="2"/>
        </w:numPr>
        <w:spacing w:after="80"/>
      </w:pPr>
      <w:r>
        <w:rPr>
          <w:sz w:val="22"/>
          <w:szCs w:val="22"/>
        </w:rPr>
        <w:t xml:space="preserve">In the comparison/pricing section, the percentage figures are inconsistent — some render in black, others don't. Normalize the color treatment across all figures in that section.</w:t>
      </w:r>
    </w:p>
    <w:p>
      <w:pPr>
        <w:pStyle w:val="Heading1"/>
        <w:pBdr>
          <w:bottom w:val="single" w:color="0C4FD1" w:sz="6" w:space="4"/>
        </w:pBdr>
        <w:spacing w:after="140" w:before="340"/>
      </w:pPr>
      <w:r>
        <w:rPr>
          <w:b/>
          <w:bCs/>
          <w:color w:val="0C4FD1"/>
          <w:sz w:val="28"/>
          <w:szCs w:val="28"/>
        </w:rPr>
        <w:t xml:space="preserve">4. What's Already Good (Keep As-Is)</w:t>
      </w:r>
    </w:p>
    <w:p>
      <w:pPr>
        <w:pStyle w:val="ListParagraph"/>
        <w:numPr>
          <w:ilvl w:val="0"/>
          <w:numId w:val="2"/>
        </w:numPr>
        <w:spacing w:after="80"/>
      </w:pPr>
      <w:r>
        <w:rPr>
          <w:sz w:val="22"/>
          <w:szCs w:val="22"/>
        </w:rPr>
        <w:t xml:space="preserve">Several existing hover animations already work well — don't rebuild these, just make sure they're consistent with the new polish pass.</w:t>
      </w:r>
    </w:p>
    <w:p>
      <w:pPr>
        <w:pStyle w:val="ListParagraph"/>
        <w:numPr>
          <w:ilvl w:val="0"/>
          <w:numId w:val="2"/>
        </w:numPr>
        <w:spacing w:after="80"/>
      </w:pPr>
      <w:r>
        <w:rPr>
          <w:sz w:val="22"/>
          <w:szCs w:val="22"/>
        </w:rPr>
        <w:t xml:space="preserve">The general layout/structure of the “Industries” and a couple of other sections was called out as already solid — focus effort on animation/spacing, not redesign.</w:t>
      </w:r>
    </w:p>
    <w:p>
      <w:pPr>
        <w:pStyle w:val="Heading1"/>
        <w:pBdr>
          <w:bottom w:val="single" w:color="0C4FD1" w:sz="6" w:space="4"/>
        </w:pBdr>
        <w:spacing w:after="140" w:before="340"/>
      </w:pPr>
      <w:r>
        <w:rPr>
          <w:b/>
          <w:bCs/>
          <w:color w:val="0C4FD1"/>
          <w:sz w:val="28"/>
          <w:szCs w:val="28"/>
        </w:rPr>
        <w:t xml:space="preserve">5. Overall Direction</w:t>
      </w:r>
    </w:p>
    <w:p>
      <w:pPr>
        <w:spacing w:after="120"/>
      </w:pPr>
      <w:r>
        <w:rPr>
          <w:sz w:val="22"/>
          <w:szCs w:val="22"/>
        </w:rPr>
        <w:t xml:space="preserve">General instruction from Abubeckr: “Bring life into the website.” The page should feel calm and professional (per DEXA's overall design direction) but not static — animation should be used purposefully on scroll and hover throughout, matching the level of polish shown in the specific examples above.</w:t>
      </w:r>
    </w:p>
    <w:p>
      <w:pPr>
        <w:pStyle w:val="Heading1"/>
        <w:pBdr>
          <w:bottom w:val="single" w:color="0C4FD1" w:sz="6" w:space="4"/>
        </w:pBdr>
        <w:spacing w:after="140" w:before="340"/>
      </w:pPr>
      <w:r>
        <w:rPr>
          <w:b/>
          <w:bCs/>
          <w:color w:val="0C4FD1"/>
          <w:sz w:val="28"/>
          <w:szCs w:val="28"/>
        </w:rPr>
        <w:t xml:space="preserve">6. Next Assignment (After This Pass)</w:t>
      </w:r>
    </w:p>
    <w:p>
      <w:pPr>
        <w:spacing w:after="120"/>
      </w:pPr>
      <w:r>
        <w:rPr>
          <w:sz w:val="22"/>
          <w:szCs w:val="22"/>
        </w:rPr>
        <w:t xml:space="preserve">Once the marketing site fixes above are complete and a video is sent, Haidar's next focus shifts to the Online Ordering Storefront:</w:t>
      </w:r>
    </w:p>
    <w:p>
      <w:pPr>
        <w:pStyle w:val="ListParagraph"/>
        <w:numPr>
          <w:ilvl w:val="0"/>
          <w:numId w:val="2"/>
        </w:numPr>
        <w:spacing w:after="80"/>
      </w:pPr>
      <w:r>
        <w:rPr>
          <w:sz w:val="22"/>
          <w:szCs w:val="22"/>
        </w:rPr>
        <w:t xml:space="preserve">Abubeckr will record a separate, dedicated video walking through the storefront feedback in detail (styling/look-and-feel comments from the business side).</w:t>
      </w:r>
    </w:p>
    <w:p>
      <w:pPr>
        <w:pStyle w:val="ListParagraph"/>
        <w:numPr>
          <w:ilvl w:val="0"/>
          <w:numId w:val="2"/>
        </w:numPr>
        <w:spacing w:after="80"/>
      </w:pPr>
      <w:r>
        <w:rPr>
          <w:sz w:val="22"/>
          <w:szCs w:val="22"/>
        </w:rPr>
        <w:t xml:space="preserve">Abubeckr will create a Notion ticket to track this piece of work once the video is sent.</w:t>
      </w:r>
    </w:p>
    <w:p>
      <w:pPr>
        <w:pStyle w:val="ListParagraph"/>
        <w:numPr>
          <w:ilvl w:val="0"/>
          <w:numId w:val="2"/>
        </w:numPr>
        <w:spacing w:after="80"/>
      </w:pPr>
      <w:r>
        <w:rPr>
          <w:sz w:val="22"/>
          <w:szCs w:val="22"/>
        </w:rPr>
        <w:t xml:space="preserve">Haidar agreed a dedicated feedback video is the right approach so nothing gets lost.</w:t>
      </w:r>
    </w:p>
    <w:p>
      <w:pPr>
        <w:pStyle w:val="Heading1"/>
        <w:pBdr>
          <w:bottom w:val="single" w:color="0C4FD1" w:sz="6" w:space="4"/>
        </w:pBdr>
        <w:spacing w:after="140" w:before="340"/>
      </w:pPr>
      <w:r>
        <w:rPr>
          <w:b/>
          <w:bCs/>
          <w:color w:val="0C4FD1"/>
          <w:sz w:val="28"/>
          <w:szCs w:val="28"/>
        </w:rPr>
        <w:t xml:space="preserve">7. Open Action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50"/>
      </w:tblGrid>
      <w:tr>
        <w:trPr>
          <w:tblHeader/>
        </w:trPr>
        <w:tc>
          <w:tcPr>
            <w:tcW w:type="dxa" w:w="1600"/>
            <w:shd w:fill="0C4FD1" w:val="clear"/>
            <w:tcMar>
              <w:top w:type="dxa" w:w="100"/>
              <w:left w:type="dxa" w:w="120"/>
              <w:bottom w:type="dxa" w:w="100"/>
              <w:right w:type="dxa" w:w="120"/>
            </w:tcMar>
          </w:tcPr>
          <w:p>
            <w:r>
              <w:rPr>
                <w:b/>
                <w:bCs/>
                <w:color w:val="FFFFFF"/>
                <w:sz w:val="20"/>
                <w:szCs w:val="20"/>
              </w:rPr>
              <w:t xml:space="preserve">Owner</w:t>
            </w:r>
          </w:p>
        </w:tc>
        <w:tc>
          <w:tcPr>
            <w:tcW w:type="dxa" w:w="4800"/>
            <w:shd w:fill="0C4FD1" w:val="clear"/>
            <w:tcMar>
              <w:top w:type="dxa" w:w="100"/>
              <w:left w:type="dxa" w:w="120"/>
              <w:bottom w:type="dxa" w:w="100"/>
              <w:right w:type="dxa" w:w="120"/>
            </w:tcMar>
          </w:tcPr>
          <w:p>
            <w:r>
              <w:rPr>
                <w:b/>
                <w:bCs/>
                <w:color w:val="FFFFFF"/>
                <w:sz w:val="20"/>
                <w:szCs w:val="20"/>
              </w:rPr>
              <w:t xml:space="preserve">Action Item</w:t>
            </w:r>
          </w:p>
        </w:tc>
        <w:tc>
          <w:tcPr>
            <w:tcW w:type="dxa" w:w="2950"/>
            <w:shd w:fill="0C4FD1" w:val="clear"/>
            <w:tcMar>
              <w:top w:type="dxa" w:w="100"/>
              <w:left w:type="dxa" w:w="120"/>
              <w:bottom w:type="dxa" w:w="100"/>
              <w:right w:type="dxa" w:w="120"/>
            </w:tcMar>
          </w:tcPr>
          <w:p>
            <w:r>
              <w:rPr>
                <w:b/>
                <w:bCs/>
                <w:color w:val="FFFFFF"/>
                <w:sz w:val="20"/>
                <w:szCs w:val="20"/>
              </w:rPr>
              <w:t xml:space="preserve">Notes / Status</w:t>
            </w:r>
          </w:p>
        </w:tc>
      </w:tr>
      <w:tr>
        <w:tc>
          <w:tcPr>
            <w:tcW w:type="dxa" w:w="1600"/>
            <w:tcMar>
              <w:top w:type="dxa" w:w="100"/>
              <w:left w:type="dxa" w:w="120"/>
              <w:bottom w:type="dxa" w:w="100"/>
              <w:right w:type="dxa" w:w="120"/>
            </w:tcMar>
          </w:tcPr>
          <w:p>
            <w:r>
              <w:rPr>
                <w:b/>
                <w:bCs/>
                <w:color w:val="1A1A1A"/>
                <w:sz w:val="20"/>
                <w:szCs w:val="20"/>
              </w:rPr>
              <w:t xml:space="preserve">Haidar</w:t>
            </w:r>
          </w:p>
        </w:tc>
        <w:tc>
          <w:tcPr>
            <w:tcW w:type="dxa" w:w="4800"/>
            <w:tcMar>
              <w:top w:type="dxa" w:w="100"/>
              <w:left w:type="dxa" w:w="120"/>
              <w:bottom w:type="dxa" w:w="100"/>
              <w:right w:type="dxa" w:w="120"/>
            </w:tcMar>
          </w:tcPr>
          <w:p>
            <w:r>
              <w:rPr>
                <w:b w:val="false"/>
                <w:bCs w:val="false"/>
                <w:color w:val="1A1A1A"/>
                <w:sz w:val="20"/>
                <w:szCs w:val="20"/>
              </w:rPr>
              <w:t xml:space="preserve">Fix all items listed in Sections 1–3 above.</w:t>
            </w:r>
          </w:p>
        </w:tc>
        <w:tc>
          <w:tcPr>
            <w:tcW w:type="dxa" w:w="2950"/>
            <w:tcMar>
              <w:top w:type="dxa" w:w="100"/>
              <w:left w:type="dxa" w:w="120"/>
              <w:bottom w:type="dxa" w:w="100"/>
              <w:right w:type="dxa" w:w="120"/>
            </w:tcMar>
          </w:tcPr>
          <w:p>
            <w:r>
              <w:rPr>
                <w:b w:val="false"/>
                <w:bCs w:val="false"/>
                <w:color w:val="555555"/>
                <w:sz w:val="20"/>
                <w:szCs w:val="20"/>
              </w:rPr>
              <w:t xml:space="preserve">Marketing site (dexaposai.com).</w:t>
            </w:r>
          </w:p>
        </w:tc>
      </w:tr>
      <w:tr>
        <w:tc>
          <w:tcPr>
            <w:tcW w:type="dxa" w:w="1600"/>
            <w:tcMar>
              <w:top w:type="dxa" w:w="100"/>
              <w:left w:type="dxa" w:w="120"/>
              <w:bottom w:type="dxa" w:w="100"/>
              <w:right w:type="dxa" w:w="120"/>
            </w:tcMar>
          </w:tcPr>
          <w:p>
            <w:r>
              <w:rPr>
                <w:b/>
                <w:bCs/>
                <w:color w:val="1A1A1A"/>
                <w:sz w:val="20"/>
                <w:szCs w:val="20"/>
              </w:rPr>
              <w:t xml:space="preserve">Haidar</w:t>
            </w:r>
          </w:p>
        </w:tc>
        <w:tc>
          <w:tcPr>
            <w:tcW w:type="dxa" w:w="4800"/>
            <w:tcMar>
              <w:top w:type="dxa" w:w="100"/>
              <w:left w:type="dxa" w:w="120"/>
              <w:bottom w:type="dxa" w:w="100"/>
              <w:right w:type="dxa" w:w="120"/>
            </w:tcMar>
          </w:tcPr>
          <w:p>
            <w:r>
              <w:rPr>
                <w:b w:val="false"/>
                <w:bCs w:val="false"/>
                <w:color w:val="1A1A1A"/>
                <w:sz w:val="20"/>
                <w:szCs w:val="20"/>
              </w:rPr>
              <w:t xml:space="preserve">Send a video once fixes are complete.</w:t>
            </w:r>
          </w:p>
        </w:tc>
        <w:tc>
          <w:tcPr>
            <w:tcW w:type="dxa" w:w="2950"/>
            <w:tcMar>
              <w:top w:type="dxa" w:w="100"/>
              <w:left w:type="dxa" w:w="120"/>
              <w:bottom w:type="dxa" w:w="100"/>
              <w:right w:type="dxa" w:w="120"/>
            </w:tcMar>
          </w:tcPr>
          <w:p>
            <w:r>
              <w:rPr>
                <w:b w:val="false"/>
                <w:bCs w:val="false"/>
                <w:color w:val="555555"/>
                <w:sz w:val="20"/>
                <w:szCs w:val="20"/>
              </w:rPr>
              <w:t xml:space="preserve">For Abubeckr's review before merge.</w:t>
            </w:r>
          </w:p>
        </w:tc>
      </w:tr>
      <w:tr>
        <w:tc>
          <w:tcPr>
            <w:tcW w:type="dxa" w:w="1600"/>
            <w:tcMar>
              <w:top w:type="dxa" w:w="100"/>
              <w:left w:type="dxa" w:w="120"/>
              <w:bottom w:type="dxa" w:w="100"/>
              <w:right w:type="dxa" w:w="120"/>
            </w:tcMar>
          </w:tcPr>
          <w:p>
            <w:r>
              <w:rPr>
                <w:b/>
                <w:bCs/>
                <w:color w:val="1A1A1A"/>
                <w:sz w:val="20"/>
                <w:szCs w:val="20"/>
              </w:rPr>
              <w:t xml:space="preserve">Haidar</w:t>
            </w:r>
          </w:p>
        </w:tc>
        <w:tc>
          <w:tcPr>
            <w:tcW w:type="dxa" w:w="4800"/>
            <w:tcMar>
              <w:top w:type="dxa" w:w="100"/>
              <w:left w:type="dxa" w:w="120"/>
              <w:bottom w:type="dxa" w:w="100"/>
              <w:right w:type="dxa" w:w="120"/>
            </w:tcMar>
          </w:tcPr>
          <w:p>
            <w:r>
              <w:rPr>
                <w:b w:val="false"/>
                <w:bCs w:val="false"/>
                <w:color w:val="1A1A1A"/>
                <w:sz w:val="20"/>
                <w:szCs w:val="20"/>
              </w:rPr>
              <w:t xml:space="preserve">Finish recording and sending the remaining outstanding page videos.</w:t>
            </w:r>
          </w:p>
        </w:tc>
        <w:tc>
          <w:tcPr>
            <w:tcW w:type="dxa" w:w="2950"/>
            <w:tcMar>
              <w:top w:type="dxa" w:w="100"/>
              <w:left w:type="dxa" w:w="120"/>
              <w:bottom w:type="dxa" w:w="100"/>
              <w:right w:type="dxa" w:w="120"/>
            </w:tcMar>
          </w:tcPr>
          <w:p>
            <w:r>
              <w:rPr>
                <w:b w:val="false"/>
                <w:bCs w:val="false"/>
                <w:color w:val="555555"/>
                <w:sz w:val="20"/>
                <w:szCs w:val="20"/>
              </w:rPr>
              <w:t xml:space="preserve">Separate from this fix list — covers other dashboard pages.</w:t>
            </w:r>
          </w:p>
        </w:tc>
      </w:tr>
      <w:tr>
        <w:tc>
          <w:tcPr>
            <w:tcW w:type="dxa" w:w="1600"/>
            <w:tcMar>
              <w:top w:type="dxa" w:w="100"/>
              <w:left w:type="dxa" w:w="120"/>
              <w:bottom w:type="dxa" w:w="100"/>
              <w:right w:type="dxa" w:w="120"/>
            </w:tcMar>
          </w:tcPr>
          <w:p>
            <w:r>
              <w:rPr>
                <w:b/>
                <w:bCs/>
                <w:color w:val="1A1A1A"/>
                <w:sz w:val="20"/>
                <w:szCs w:val="20"/>
              </w:rPr>
              <w:t xml:space="preserve">Abubeckr</w:t>
            </w:r>
          </w:p>
        </w:tc>
        <w:tc>
          <w:tcPr>
            <w:tcW w:type="dxa" w:w="4800"/>
            <w:tcMar>
              <w:top w:type="dxa" w:w="100"/>
              <w:left w:type="dxa" w:w="120"/>
              <w:bottom w:type="dxa" w:w="100"/>
              <w:right w:type="dxa" w:w="120"/>
            </w:tcMar>
          </w:tcPr>
          <w:p>
            <w:r>
              <w:rPr>
                <w:b w:val="false"/>
                <w:bCs w:val="false"/>
                <w:color w:val="1A1A1A"/>
                <w:sz w:val="20"/>
                <w:szCs w:val="20"/>
              </w:rPr>
              <w:t xml:space="preserve">Record a dedicated feedback video for the online ordering storefront.</w:t>
            </w:r>
          </w:p>
        </w:tc>
        <w:tc>
          <w:tcPr>
            <w:tcW w:type="dxa" w:w="2950"/>
            <w:tcMar>
              <w:top w:type="dxa" w:w="100"/>
              <w:left w:type="dxa" w:w="120"/>
              <w:bottom w:type="dxa" w:w="100"/>
              <w:right w:type="dxa" w:w="120"/>
            </w:tcMar>
          </w:tcPr>
          <w:p>
            <w:r>
              <w:rPr>
                <w:b w:val="false"/>
                <w:bCs w:val="false"/>
                <w:color w:val="555555"/>
                <w:sz w:val="20"/>
                <w:szCs w:val="20"/>
              </w:rPr>
              <w:t xml:space="preserve">Will follow this pass.</w:t>
            </w:r>
          </w:p>
        </w:tc>
      </w:tr>
      <w:tr>
        <w:tc>
          <w:tcPr>
            <w:tcW w:type="dxa" w:w="1600"/>
            <w:tcMar>
              <w:top w:type="dxa" w:w="100"/>
              <w:left w:type="dxa" w:w="120"/>
              <w:bottom w:type="dxa" w:w="100"/>
              <w:right w:type="dxa" w:w="120"/>
            </w:tcMar>
          </w:tcPr>
          <w:p>
            <w:r>
              <w:rPr>
                <w:b/>
                <w:bCs/>
                <w:color w:val="1A1A1A"/>
                <w:sz w:val="20"/>
                <w:szCs w:val="20"/>
              </w:rPr>
              <w:t xml:space="preserve">Abubeckr</w:t>
            </w:r>
          </w:p>
        </w:tc>
        <w:tc>
          <w:tcPr>
            <w:tcW w:type="dxa" w:w="4800"/>
            <w:tcMar>
              <w:top w:type="dxa" w:w="100"/>
              <w:left w:type="dxa" w:w="120"/>
              <w:bottom w:type="dxa" w:w="100"/>
              <w:right w:type="dxa" w:w="120"/>
            </w:tcMar>
          </w:tcPr>
          <w:p>
            <w:r>
              <w:rPr>
                <w:b w:val="false"/>
                <w:bCs w:val="false"/>
                <w:color w:val="1A1A1A"/>
                <w:sz w:val="20"/>
                <w:szCs w:val="20"/>
              </w:rPr>
              <w:t xml:space="preserve">Create a Notion ticket for storefront styling work once the video is sent.</w:t>
            </w:r>
          </w:p>
        </w:tc>
        <w:tc>
          <w:tcPr>
            <w:tcW w:type="dxa" w:w="2950"/>
            <w:tcMar>
              <w:top w:type="dxa" w:w="100"/>
              <w:left w:type="dxa" w:w="120"/>
              <w:bottom w:type="dxa" w:w="100"/>
              <w:right w:type="dxa" w:w="120"/>
            </w:tcMar>
          </w:tcPr>
          <w:p>
            <w:r>
              <w:rPr>
                <w:b w:val="false"/>
                <w:bCs w:val="false"/>
                <w:color w:val="555555"/>
                <w:sz w:val="20"/>
                <w:szCs w:val="20"/>
              </w:rPr>
              <w:t xml:space="preserve">To track/monitor progress.</w:t>
            </w:r>
          </w:p>
        </w:tc>
      </w:tr>
      <w:tr>
        <w:tc>
          <w:tcPr>
            <w:tcW w:type="dxa" w:w="1600"/>
            <w:tcMar>
              <w:top w:type="dxa" w:w="100"/>
              <w:left w:type="dxa" w:w="120"/>
              <w:bottom w:type="dxa" w:w="100"/>
              <w:right w:type="dxa" w:w="120"/>
            </w:tcMar>
          </w:tcPr>
          <w:p>
            <w:r>
              <w:rPr>
                <w:b/>
                <w:bCs/>
                <w:color w:val="1A1A1A"/>
                <w:sz w:val="20"/>
                <w:szCs w:val="20"/>
              </w:rPr>
              <w:t xml:space="preserve">Abubeckr</w:t>
            </w:r>
          </w:p>
        </w:tc>
        <w:tc>
          <w:tcPr>
            <w:tcW w:type="dxa" w:w="4800"/>
            <w:tcMar>
              <w:top w:type="dxa" w:w="100"/>
              <w:left w:type="dxa" w:w="120"/>
              <w:bottom w:type="dxa" w:w="100"/>
              <w:right w:type="dxa" w:w="120"/>
            </w:tcMar>
          </w:tcPr>
          <w:p>
            <w:r>
              <w:rPr>
                <w:b w:val="false"/>
                <w:bCs w:val="false"/>
                <w:color w:val="1A1A1A"/>
                <w:sz w:val="20"/>
                <w:szCs w:val="20"/>
              </w:rPr>
              <w:t xml:space="preserve">Review Haidar's pending WhatsApp videos and send feedback.</w:t>
            </w:r>
          </w:p>
        </w:tc>
        <w:tc>
          <w:tcPr>
            <w:tcW w:type="dxa" w:w="2950"/>
            <w:tcMar>
              <w:top w:type="dxa" w:w="100"/>
              <w:left w:type="dxa" w:w="120"/>
              <w:bottom w:type="dxa" w:w="100"/>
              <w:right w:type="dxa" w:w="120"/>
            </w:tcMar>
          </w:tcPr>
          <w:p>
            <w:r>
              <w:rPr>
                <w:b w:val="false"/>
                <w:bCs w:val="false"/>
                <w:color w:val="555555"/>
                <w:sz w:val="20"/>
                <w:szCs w:val="20"/>
              </w:rPr>
              <w:t xml:space="preserve">Sent close to meeting time, review in progress.</w:t>
            </w:r>
          </w:p>
        </w:tc>
      </w:tr>
    </w:tbl>
    <w:p>
      <w:pPr>
        <w:pBdr>
          <w:bottom w:val="single" w:color="CCCCCC" w:sz="4" w:space="1"/>
        </w:pBdr>
        <w:spacing w:after="200" w:before="100"/>
      </w:pPr>
      <w:r>
        <w:t xml:space="preserve"/>
      </w:r>
    </w:p>
    <w:p>
      <w:pPr>
        <w:spacing w:before="300"/>
      </w:pPr>
      <w:r>
        <w:rPr>
          <w:i/>
          <w:iCs/>
          <w:color w:val="555555"/>
          <w:sz w:val="18"/>
          <w:szCs w:val="18"/>
        </w:rPr>
        <w:t xml:space="preserve">Compiled from Aug 17, 2026 team standup recording/transcript — DEXA POS internal use.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bullet"/>
      <w:lvlText w:val="–"/>
      <w:lvlJc w:val="left"/>
      <w:pPr>
        <w:ind w:left="936"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2026-08-17T18:45:14.386Z</dcterms:created>
  <dcterms:modified xsi:type="dcterms:W3CDTF">2026-08-17T18:45:14.386Z</dcterms:modified>
</cp:coreProperties>
</file>

<file path=docProps/custom.xml><?xml version="1.0" encoding="utf-8"?>
<Properties xmlns="http://schemas.openxmlformats.org/officeDocument/2006/custom-properties" xmlns:vt="http://schemas.openxmlformats.org/officeDocument/2006/docPropsVTypes"/>
</file>