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import acceptance guide</w:t>
      </w:r>
    </w:p>
    <w:p>
      <w:r>
        <w:t>Compare readable content and styles across six pages. Click a contents entry to jump to its section in this source file.</w:t>
      </w:r>
    </w:p>
    <w:p>
      <w:pPr>
        <w:pStyle w:val="Heading2"/>
      </w:pPr>
      <w:bookmarkStart w:id="100" w:name="contents"/>
      <w:r>
        <w:t>Table of contents</w:t>
      </w:r>
      <w:bookmarkEnd w:id="100"/>
    </w:p>
    <w:p>
      <w:pPr>
        <w:spacing w:after="80"/>
      </w:pPr>
      <w:hyperlink w:anchor="section_0">
        <w:r>
          <w:rPr>
            <w:color w:val="2459A6"/>
            <w:u w:val="single"/>
          </w:rPr>
          <w:t>Text and navigation    1</w:t>
        </w:r>
      </w:hyperlink>
    </w:p>
    <w:p>
      <w:pPr>
        <w:spacing w:after="80"/>
      </w:pPr>
      <w:hyperlink w:anchor="section_1">
        <w:r>
          <w:rPr>
            <w:color w:val="2459A6"/>
            <w:u w:val="single"/>
          </w:rPr>
          <w:t>Lists and links    2</w:t>
        </w:r>
      </w:hyperlink>
    </w:p>
    <w:p>
      <w:pPr>
        <w:spacing w:after="80"/>
      </w:pPr>
      <w:hyperlink w:anchor="section_2">
        <w:r>
          <w:rPr>
            <w:color w:val="2459A6"/>
            <w:u w:val="single"/>
          </w:rPr>
          <w:t>Tables and code    3</w:t>
        </w:r>
      </w:hyperlink>
    </w:p>
    <w:p>
      <w:pPr>
        <w:spacing w:after="80"/>
      </w:pPr>
      <w:hyperlink w:anchor="section_3">
        <w:r>
          <w:rPr>
            <w:color w:val="2459A6"/>
            <w:u w:val="single"/>
          </w:rPr>
          <w:t>Figures and final checks    4</w:t>
        </w:r>
      </w:hyperlink>
    </w:p>
    <w:p>
      <w:pPr>
        <w:spacing w:after="80"/>
      </w:pPr>
      <w:hyperlink w:anchor="section_4">
        <w:r>
          <w:rPr>
            <w:color w:val="2459A6"/>
            <w:u w:val="single"/>
          </w:rPr>
          <w:t>Typography and layout    5</w:t>
        </w:r>
      </w:hyperlink>
    </w:p>
    <w:p>
      <w:pPr>
        <w:spacing w:after="80"/>
      </w:pPr>
      <w:hyperlink w:anchor="section_5">
        <w:r>
          <w:rPr>
            <w:color w:val="2459A6"/>
            <w:u w:val="single"/>
          </w:rPr>
          <w:t>Deeper structure    6</w:t>
        </w:r>
      </w:hyperlink>
    </w:p>
    <w:p>
      <w:pPr>
        <w:pStyle w:val="Heading1"/>
      </w:pPr>
      <w:bookmarkStart w:id="0" w:name="section_0"/>
      <w:r>
        <w:t>Text and navigation</w:t>
      </w:r>
      <w:bookmarkEnd w:id="0"/>
    </w:p>
    <w:p>
      <w:pPr>
        <w:pStyle w:val="Heading2"/>
      </w:pPr>
      <w:r>
        <w:t>Formatting examples</w:t>
      </w:r>
    </w:p>
    <w:p>
      <w:r>
        <w:t xml:space="preserve">Plain text with </w:t>
      </w:r>
      <w:r>
        <w:rPr>
          <w:b/>
        </w:rPr>
        <w:t>bold emphasis</w:t>
      </w:r>
      <w:r>
        <w:t xml:space="preserve">, </w:t>
      </w:r>
      <w:r>
        <w:rPr>
          <w:i/>
        </w:rPr>
        <w:t>italic emphasis</w:t>
      </w:r>
      <w:r>
        <w:t xml:space="preserve"> and </w:t>
      </w:r>
      <w:r>
        <w:rPr>
          <w:b/>
          <w:i/>
        </w:rPr>
        <w:t>bold italic emphasis</w:t>
      </w:r>
      <w:r>
        <w:t>.</w:t>
      </w:r>
    </w:p>
    <w:p>
      <w:r>
        <w:t>Accented text: Réinitialiser le réseau. Café déjà vu.</w:t>
      </w:r>
    </w:p>
    <w:p>
      <w:r>
        <w:rPr>
          <w:strike/>
        </w:rPr>
        <w:t>Removed wording</w:t>
      </w:r>
      <w:r>
        <w:t xml:space="preserve"> remains readable after import.</w:t>
      </w:r>
    </w:p>
    <w:p>
      <w:pPr>
        <w:pStyle w:val="Heading3"/>
      </w:pPr>
      <w:r>
        <w:t>Detailed check</w:t>
      </w:r>
    </w:p>
    <w:p>
      <w:r>
        <w:t>A third level heading keeps its hierarchy.</w:t>
      </w:r>
    </w:p>
    <w:p>
      <w:r>
        <w:br w:type="page"/>
      </w:r>
    </w:p>
    <w:p>
      <w:pPr>
        <w:pStyle w:val="Heading1"/>
      </w:pPr>
      <w:bookmarkStart w:id="1" w:name="section_1"/>
      <w:r>
        <w:t>Lists and links</w:t>
      </w:r>
      <w:bookmarkEnd w:id="1"/>
    </w:p>
    <w:p>
      <w:pPr>
        <w:pStyle w:val="ListBullet"/>
      </w:pPr>
      <w:hyperlink r:id="rId11">
        <w:r>
          <w:rPr>
            <w:color w:val="2459A6"/>
            <w:u w:val="single"/>
          </w:rPr>
          <w:t>Open the import guide</w:t>
        </w:r>
      </w:hyperlink>
    </w:p>
    <w:p>
      <w:pPr>
        <w:pStyle w:val="ListBullet"/>
      </w:pPr>
      <w:r>
        <w:rPr>
          <w:b w:val="0"/>
        </w:rPr>
        <w:t>Check the destination workspace</w:t>
      </w:r>
    </w:p>
    <w:p>
      <w:pPr>
        <w:pStyle w:val="ListBullet2"/>
      </w:pPr>
      <w:r>
        <w:t>Nested checklist detail</w:t>
      </w:r>
    </w:p>
    <w:p>
      <w:pPr>
        <w:pStyle w:val="ListBullet"/>
      </w:pPr>
      <w:r>
        <w:rPr>
          <w:b w:val="0"/>
        </w:rPr>
        <w:t>Keep the original file unchanged</w:t>
      </w:r>
    </w:p>
    <w:p>
      <w:pPr>
        <w:pStyle w:val="ListBullet"/>
      </w:pPr>
      <w:r>
        <w:rPr>
          <w:b w:val="0"/>
        </w:rPr>
        <w:t>Review the imported headings</w:t>
      </w:r>
    </w:p>
    <w:p>
      <w:pPr>
        <w:pStyle w:val="ListBullet"/>
      </w:pPr>
      <w:r>
        <w:rPr>
          <w:b w:val="0"/>
        </w:rPr>
        <w:t>Verify every list item separately</w:t>
      </w:r>
    </w:p>
    <w:p>
      <w:pPr>
        <w:pStyle w:val="ListBullet"/>
      </w:pPr>
      <w:r>
        <w:rPr>
          <w:b w:val="0"/>
        </w:rPr>
        <w:t>Preserve drawn circle bullets</w:t>
      </w:r>
    </w:p>
    <w:p>
      <w:pPr>
        <w:pStyle w:val="ListBullet"/>
      </w:pPr>
      <w:r>
        <w:rPr>
          <w:b/>
        </w:rPr>
        <w:t>Keep bold text inside a list</w:t>
      </w:r>
    </w:p>
    <w:p>
      <w:pPr>
        <w:pStyle w:val="ListBullet"/>
      </w:pPr>
      <w:r>
        <w:rPr>
          <w:b w:val="0"/>
        </w:rPr>
        <w:t>Confirm the final bullet survives</w:t>
      </w:r>
    </w:p>
    <w:p>
      <w:pPr>
        <w:pStyle w:val="ListNumber"/>
      </w:pPr>
      <w:r>
        <w:t>Choose the source file</w:t>
      </w:r>
    </w:p>
    <w:p>
      <w:pPr>
        <w:pStyle w:val="ListNumber"/>
      </w:pPr>
      <w:r>
        <w:t>Start the import task</w:t>
      </w:r>
    </w:p>
    <w:p>
      <w:pPr>
        <w:pStyle w:val="ListNumber"/>
      </w:pPr>
      <w:r>
        <w:t>Open the completed page</w:t>
      </w:r>
    </w:p>
    <w:p>
      <w:r>
        <w:t>Open the import guide</w:t>
      </w:r>
    </w:p>
    <w:p>
      <w:r>
        <w:t xml:space="preserve">Inline link: </w:t>
      </w:r>
      <w:hyperlink r:id="rId12">
        <w:r>
          <w:rPr>
            <w:color w:val="2459A6"/>
            <w:u w:val="single"/>
          </w:rPr>
          <w:t>Read the reference</w:t>
        </w:r>
      </w:hyperlink>
      <w:r>
        <w:t xml:space="preserve"> before continuing.</w:t>
      </w:r>
    </w:p>
    <w:p>
      <w:hyperlink w:anchor="contents">
        <w:r>
          <w:rPr>
            <w:color w:val="2459A6"/>
            <w:u w:val="single"/>
          </w:rPr>
          <w:t>Back to contents</w:t>
        </w:r>
      </w:hyperlink>
    </w:p>
    <w:p>
      <w:r>
        <w:br w:type="page"/>
      </w:r>
    </w:p>
    <w:p>
      <w:pPr>
        <w:pStyle w:val="Heading1"/>
      </w:pPr>
      <w:bookmarkStart w:id="2" w:name="section_2"/>
      <w:r>
        <w:t>Tables and code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rPr>
                <w:b/>
              </w:rPr>
              <w:t>Project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rPr>
                <w:b/>
              </w:rPr>
              <w:t>Count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Atlas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Ready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Boreal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Review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/>
            <w:hyperlink r:id="rId13">
              <w:r>
                <w:rPr>
                  <w:color w:val="2459A6"/>
                  <w:u w:val="single"/>
                </w:rPr>
                <w:t>Cedar</w:t>
              </w:r>
            </w:hyperlink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8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Done</w:t>
            </w:r>
          </w:p>
        </w:tc>
      </w:tr>
    </w:tbl>
    <w:p>
      <w:r>
        <w:t>Table 1 Project readiness</w:t>
      </w:r>
    </w:p>
    <w:p>
      <w:pPr>
        <w:pStyle w:val="Heading2"/>
      </w:pPr>
      <w:r>
        <w:t>Code example</w:t>
      </w:r>
    </w:p>
    <w:p>
      <w:pPr>
        <w:pStyle w:val="Code"/>
      </w:pPr>
      <w:r>
        <w:t>// keep the next statement on a new line</w:t>
        <w:br/>
        <w:t>let ready = true;</w:t>
        <w:br/>
        <w:t>println!("ready");</w:t>
      </w:r>
    </w:p>
    <w:p>
      <w:pPr>
        <w:pStyle w:val="Quote"/>
      </w:pPr>
      <w:r>
        <w:t>Only mark a page ready after its content is persisted.</w:t>
      </w:r>
    </w:p>
    <w:p>
      <w:r>
        <w:t>Table and code checks are complete.</w:t>
      </w:r>
    </w:p>
    <w:p>
      <w:hyperlink w:anchor="contents">
        <w:r>
          <w:rPr>
            <w:color w:val="2459A6"/>
            <w:u w:val="single"/>
          </w:rPr>
          <w:t>Back to contents</w:t>
        </w:r>
      </w:hyperlink>
    </w:p>
    <w:p>
      <w:r>
        <w:br w:type="page"/>
      </w:r>
    </w:p>
    <w:p>
      <w:pPr>
        <w:pStyle w:val="Heading1"/>
      </w:pPr>
      <w:bookmarkStart w:id="3" w:name="section_3"/>
      <w:r>
        <w:t>Figures and final checks</w:t>
      </w:r>
      <w:bookmarkEnd w:id="3"/>
    </w:p>
    <w:p>
      <w:r>
        <w:drawing>
          <wp:inline xmlns:a="http://schemas.openxmlformats.org/drawingml/2006/main" xmlns:pic="http://schemas.openxmlformats.org/drawingml/2006/picture">
            <wp:extent cx="512064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Source to conversion to imported page</w:t>
      </w:r>
    </w:p>
    <w:p>
      <w:r>
        <w:t>The embedded image contains three coloured stages and two arrows.</w:t>
      </w:r>
    </w:p>
    <w:p>
      <w:r>
        <w:t>Left column first paragraph. Reading order starts here. The source remains available. Every word should survive. Finish this column first.</w:t>
      </w:r>
    </w:p>
    <w:p>
      <w:r>
        <w:t>Right column second paragraph. Reading order continues here. Compare the resulting blocks. Check their order carefully. Reading order finishes here.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10080"/>
            <w:gridSpan w:val="3"/>
            <w:shd w:fill="EAF0F9"/>
            <w:vAlign w:val="center"/>
          </w:tcPr>
          <w:p>
            <w:pPr>
              <w:spacing w:before="80" w:after="80"/>
            </w:pPr>
            <w:r>
              <w:t>Merged readiness summary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Area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Status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Owner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Navigation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Verified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Mira</w:t>
            </w:r>
          </w:p>
        </w:tc>
      </w:tr>
    </w:tbl>
    <w:p>
      <w:r>
        <w:t>Table 2 Merged summary</w:t>
      </w:r>
    </w:p>
    <w:p>
      <w:hyperlink w:anchor="contents">
        <w:r>
          <w:rPr>
            <w:color w:val="2459A6"/>
            <w:u w:val="single"/>
          </w:rPr>
          <w:t>Back to contents</w:t>
        </w:r>
      </w:hyperlink>
    </w:p>
    <w:p>
      <w:r>
        <w:br w:type="page"/>
      </w:r>
    </w:p>
    <w:p>
      <w:pPr>
        <w:pStyle w:val="Heading1"/>
      </w:pPr>
      <w:bookmarkStart w:id="4" w:name="section_4"/>
      <w:r>
        <w:t>Typography and layout</w:t>
      </w:r>
      <w:bookmarkEnd w:id="4"/>
    </w:p>
    <w:p>
      <w:pPr>
        <w:pStyle w:val="Heading2"/>
      </w:pPr>
      <w:r>
        <w:t>Inline style samples</w:t>
      </w:r>
    </w:p>
    <w:p>
      <w:r>
        <w:rPr>
          <w:u w:val="single"/>
        </w:rPr>
        <w:t>Underline sample</w:t>
      </w:r>
      <w:r>
        <w:t xml:space="preserve"> stays readable.</w:t>
      </w:r>
    </w:p>
    <w:p>
      <w:r>
        <w:rPr>
          <w:highlight w:val="yellow"/>
        </w:rPr>
        <w:t>Highlight sample</w:t>
      </w:r>
      <w:r>
        <w:t xml:space="preserve"> stays readable.</w:t>
      </w:r>
    </w:p>
    <w:p>
      <w:r>
        <w:rPr>
          <w:color w:val="2459A6"/>
        </w:rPr>
        <w:t>Coloured sample</w:t>
      </w:r>
      <w:r>
        <w:t xml:space="preserve"> stays readable.</w:t>
      </w:r>
    </w:p>
    <w:p>
      <w:r>
        <w:rPr>
          <w:dstrike/>
        </w:rPr>
        <w:t>Double strike sample</w:t>
      </w:r>
      <w:r>
        <w:t xml:space="preserve"> stays readable.</w:t>
      </w:r>
    </w:p>
    <w:p>
      <w:r>
        <w:t xml:space="preserve">Inline code sample: </w:t>
      </w:r>
      <w:r>
        <w:rPr>
          <w:rFonts w:ascii="Courier New" w:hAnsi="Courier New"/>
        </w:rPr>
        <w:t>import_ready = true</w:t>
      </w:r>
    </w:p>
    <w:p>
      <w:r>
        <w:t>Subscript example: H</w:t>
      </w:r>
      <w:r>
        <w:rPr>
          <w:vertAlign w:val="subscript"/>
        </w:rPr>
        <w:t>2</w:t>
      </w:r>
      <w:r>
        <w:t>O</w:t>
      </w:r>
    </w:p>
    <w:p>
      <w:r>
        <w:t>Superscript example: x</w:t>
      </w:r>
      <w:r>
        <w:rPr>
          <w:vertAlign w:val="superscript"/>
        </w:rPr>
        <w:t>2</w:t>
      </w:r>
    </w:p>
    <w:p>
      <w:pPr>
        <w:pStyle w:val="Heading2"/>
      </w:pPr>
      <w:r>
        <w:t>Paragraph alignment</w:t>
      </w:r>
    </w:p>
    <w:p>
      <w:pPr>
        <w:jc w:val="center"/>
      </w:pPr>
      <w:r>
        <w:t>Centered paragraph sample.</w:t>
      </w:r>
    </w:p>
    <w:p>
      <w:pPr>
        <w:jc w:val="right"/>
      </w:pPr>
      <w:r>
        <w:t>Right aligned paragraph sample.</w:t>
      </w:r>
    </w:p>
    <w:p>
      <w:pPr>
        <w:jc w:val="both"/>
      </w:pPr>
      <w:r>
        <w:t>Justified paragraphs keep their words even when the imported document uses a different line width.</w:t>
      </w:r>
    </w:p>
    <w:p>
      <w:r>
        <w:t>Compare text separately from decoration. Colour, highlight, underline, script position and alignment can flatten on import.</w:t>
      </w:r>
    </w:p>
    <w:p>
      <w:hyperlink w:anchor="contents">
        <w:r>
          <w:rPr>
            <w:color w:val="2459A6"/>
            <w:u w:val="single"/>
          </w:rPr>
          <w:t>Back to contents</w:t>
        </w:r>
      </w:hyperlink>
    </w:p>
    <w:p>
      <w:r>
        <w:br w:type="page"/>
      </w:r>
    </w:p>
    <w:p>
      <w:pPr>
        <w:pStyle w:val="Heading1"/>
      </w:pPr>
      <w:bookmarkStart w:id="5" w:name="section_5"/>
      <w:r>
        <w:t>Deeper structure</w:t>
      </w:r>
      <w:bookmarkEnd w:id="5"/>
    </w:p>
    <w:p>
      <w:pPr>
        <w:pStyle w:val="Heading2"/>
      </w:pPr>
      <w:r>
        <w:t>Nested list examples</w:t>
      </w:r>
    </w:p>
    <w:p>
      <w:pPr>
        <w:pStyle w:val="ListBullet"/>
      </w:pPr>
      <w:r>
        <w:t>Release review</w:t>
      </w:r>
    </w:p>
    <w:p>
      <w:pPr>
        <w:pStyle w:val="ListBullet2"/>
      </w:pPr>
      <w:r>
        <w:t>Review formatting</w:t>
      </w:r>
    </w:p>
    <w:p>
      <w:pPr>
        <w:pStyle w:val="ListBullet3"/>
      </w:pPr>
      <w:r>
        <w:t>Inspect the deepest item</w:t>
      </w:r>
    </w:p>
    <w:p>
      <w:pPr>
        <w:pStyle w:val="ListBullet"/>
      </w:pPr>
      <w:r>
        <w:t>Approve the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AF0F9"/>
            <w:vAlign w:val="center"/>
          </w:tcPr>
          <w:p>
            <w:pPr>
              <w:spacing w:before="80" w:after="80"/>
            </w:pPr>
            <w:r>
              <w:rPr>
                <w:b/>
              </w:rPr>
              <w:t>Item</w:t>
            </w:r>
          </w:p>
        </w:tc>
        <w:tc>
          <w:tcPr>
            <w:tcW w:type="dxa" w:w="3360"/>
            <w:shd w:fill="EAF0F9"/>
            <w:vAlign w:val="center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  <w:tc>
          <w:tcPr>
            <w:tcW w:type="dxa" w:w="3360"/>
            <w:shd w:fill="EAF0F9"/>
            <w:vAlign w:val="center"/>
          </w:tcPr>
          <w:p>
            <w:pPr>
              <w:spacing w:before="80" w:after="80"/>
            </w:pPr>
            <w:r>
              <w:rPr>
                <w:b/>
              </w:rPr>
              <w:t>Owner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Delta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First line</w:t>
              <w:br/>
              <w:t>Second line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rPr>
                <w:i/>
              </w:rPr>
              <w:t>Mira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Echo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rPr>
                <w:b/>
              </w:rPr>
              <w:t>Bold table detail</w:t>
            </w:r>
          </w:p>
        </w:tc>
        <w:tc>
          <w:tcPr>
            <w:tcW w:type="dxa" w:w="3360"/>
            <w:vAlign w:val="center"/>
          </w:tcPr>
          <w:p>
            <w:pPr>
              <w:spacing w:before="80" w:after="80"/>
            </w:pPr>
            <w:r>
              <w:t>Noah</w:t>
            </w:r>
          </w:p>
        </w:tc>
      </w:tr>
    </w:tbl>
    <w:p>
      <w:r>
        <w:t>Table 3 Rich cell content</w:t>
      </w:r>
    </w:p>
    <w:p>
      <w:pPr>
        <w:pStyle w:val="Heading3"/>
        <w:spacing w:before="140" w:after="80"/>
      </w:pPr>
      <w:r>
        <w:t>Level three sample</w:t>
      </w:r>
    </w:p>
    <w:p>
      <w:pPr>
        <w:pStyle w:val="Heading4"/>
        <w:spacing w:before="140" w:after="80"/>
      </w:pPr>
      <w:r>
        <w:t>Level four sample</w:t>
      </w:r>
    </w:p>
    <w:p>
      <w:pPr>
        <w:pStyle w:val="Heading5"/>
        <w:spacing w:before="140" w:after="80"/>
      </w:pPr>
      <w:r>
        <w:t>Level five sample</w:t>
      </w:r>
    </w:p>
    <w:p>
      <w:pPr>
        <w:pStyle w:val="Heading6"/>
        <w:spacing w:before="140" w:after="80"/>
      </w:pPr>
      <w:r>
        <w:t>Level six sample</w:t>
      </w:r>
    </w:p>
    <w:p>
      <w:r>
        <w:t>Final sentinel: every page was imported.</w:t>
      </w:r>
    </w:p>
    <w:p>
      <w:hyperlink w:anchor="contents">
        <w:r>
          <w:rPr>
            <w:color w:val="2459A6"/>
            <w:u w:val="single"/>
          </w:rPr>
          <w:t>Back to contents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008" w:left="108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AppFlowy import fixture running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import-guide?source=fixture&amp;format=document" TargetMode="External"/><Relationship Id="rId12" Type="http://schemas.openxmlformats.org/officeDocument/2006/relationships/hyperlink" Target="https://example.com/reference" TargetMode="External"/><Relationship Id="rId13" Type="http://schemas.openxmlformats.org/officeDocument/2006/relationships/hyperlink" Target="https://example.com/projects/cedar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import acceptance guide</dc:title>
  <dc:subject/>
  <dc:creator>AppFlowy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