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Payment International Geolocation Intelligence</w:t>
      </w:r>
    </w:p>
    <w:p>
      <w:pPr>
        <w:spacing w:after="240"/>
      </w:pPr>
      <w:r>
        <w:rPr>
          <w:color w:val="536071"/>
          <w:sz w:val="26"/>
        </w:rPr>
        <w:t>Calculation Logic, Core Concepts, and App Navigation</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Field</w:t>
            </w:r>
          </w:p>
        </w:tc>
        <w:tc>
          <w:tcPr>
            <w:tcW w:type="dxa" w:w="676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Value</w:t>
            </w:r>
          </w:p>
        </w:tc>
      </w:tr>
      <w:tr>
        <w:tc>
          <w:tcPr>
            <w:tcW w:type="dxa" w:w="2600"/>
            <w:vAlign w:val="center"/>
            <w:tcMar>
              <w:top w:w="80" w:type="dxa"/>
              <w:start w:w="120" w:type="dxa"/>
              <w:bottom w:w="80" w:type="dxa"/>
              <w:end w:w="120" w:type="dxa"/>
            </w:tcMar>
          </w:tcPr>
          <w:p>
            <w:pPr>
              <w:spacing w:before="0" w:after="40" w:line="276" w:lineRule="auto"/>
            </w:pPr>
            <w:r>
              <w:rPr>
                <w:rFonts w:ascii="Calibri" w:hAnsi="Calibri"/>
                <w:b w:val="0"/>
                <w:color w:val="162233"/>
                <w:sz w:val="18"/>
              </w:rPr>
              <w:t>Live app</w:t>
            </w:r>
          </w:p>
        </w:tc>
        <w:tc>
          <w:tcPr>
            <w:tcW w:type="dxa" w:w="6760"/>
            <w:vAlign w:val="center"/>
            <w:tcMar>
              <w:top w:w="80" w:type="dxa"/>
              <w:start w:w="120" w:type="dxa"/>
              <w:bottom w:w="80" w:type="dxa"/>
              <w:end w:w="120" w:type="dxa"/>
            </w:tcMar>
          </w:tcPr>
          <w:p>
            <w:pPr>
              <w:spacing w:before="0" w:after="40" w:line="276" w:lineRule="auto"/>
            </w:pPr>
            <w:r>
              <w:rPr>
                <w:rFonts w:ascii="Calibri" w:hAnsi="Calibri"/>
                <w:b w:val="0"/>
                <w:color w:val="162233"/>
                <w:sz w:val="18"/>
              </w:rPr>
              <w:t>https://paymentinternational.appspoke-go-payment.workers.dev</w:t>
            </w:r>
          </w:p>
        </w:tc>
      </w:tr>
      <w:tr>
        <w:tc>
          <w:tcPr>
            <w:tcW w:type="dxa" w:w="2600"/>
            <w:vAlign w:val="center"/>
            <w:tcMar>
              <w:top w:w="80" w:type="dxa"/>
              <w:start w:w="120" w:type="dxa"/>
              <w:bottom w:w="80" w:type="dxa"/>
              <w:end w:w="120" w:type="dxa"/>
            </w:tcMar>
          </w:tcPr>
          <w:p>
            <w:pPr>
              <w:spacing w:before="0" w:after="40" w:line="276" w:lineRule="auto"/>
            </w:pPr>
            <w:r>
              <w:rPr>
                <w:rFonts w:ascii="Calibri" w:hAnsi="Calibri"/>
                <w:b w:val="0"/>
                <w:color w:val="162233"/>
                <w:sz w:val="18"/>
              </w:rPr>
              <w:t>GitHub repository</w:t>
            </w:r>
          </w:p>
        </w:tc>
        <w:tc>
          <w:tcPr>
            <w:tcW w:type="dxa" w:w="6760"/>
            <w:vAlign w:val="center"/>
            <w:tcMar>
              <w:top w:w="80" w:type="dxa"/>
              <w:start w:w="120" w:type="dxa"/>
              <w:bottom w:w="80" w:type="dxa"/>
              <w:end w:w="120" w:type="dxa"/>
            </w:tcMar>
          </w:tcPr>
          <w:p>
            <w:pPr>
              <w:spacing w:before="0" w:after="40" w:line="276" w:lineRule="auto"/>
            </w:pPr>
            <w:r>
              <w:rPr>
                <w:rFonts w:ascii="Calibri" w:hAnsi="Calibri"/>
                <w:b w:val="0"/>
                <w:color w:val="162233"/>
                <w:sz w:val="18"/>
              </w:rPr>
              <w:t>https://github.com/AppSpoke-Go/PaymentInternational</w:t>
            </w:r>
          </w:p>
        </w:tc>
      </w:tr>
      <w:tr>
        <w:tc>
          <w:tcPr>
            <w:tcW w:type="dxa" w:w="2600"/>
            <w:vAlign w:val="center"/>
            <w:tcMar>
              <w:top w:w="80" w:type="dxa"/>
              <w:start w:w="120" w:type="dxa"/>
              <w:bottom w:w="80" w:type="dxa"/>
              <w:end w:w="120" w:type="dxa"/>
            </w:tcMar>
          </w:tcPr>
          <w:p>
            <w:pPr>
              <w:spacing w:before="0" w:after="40" w:line="276" w:lineRule="auto"/>
            </w:pPr>
            <w:r>
              <w:rPr>
                <w:rFonts w:ascii="Calibri" w:hAnsi="Calibri"/>
                <w:b w:val="0"/>
                <w:color w:val="162233"/>
                <w:sz w:val="18"/>
              </w:rPr>
              <w:t>Primary implementation</w:t>
            </w:r>
          </w:p>
        </w:tc>
        <w:tc>
          <w:tcPr>
            <w:tcW w:type="dxa" w:w="676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w:t>
            </w:r>
          </w:p>
        </w:tc>
      </w:tr>
      <w:tr>
        <w:tc>
          <w:tcPr>
            <w:tcW w:type="dxa" w:w="2600"/>
            <w:vAlign w:val="center"/>
            <w:tcMar>
              <w:top w:w="80" w:type="dxa"/>
              <w:start w:w="120" w:type="dxa"/>
              <w:bottom w:w="80" w:type="dxa"/>
              <w:end w:w="120" w:type="dxa"/>
            </w:tcMar>
          </w:tcPr>
          <w:p>
            <w:pPr>
              <w:spacing w:before="0" w:after="40" w:line="276" w:lineRule="auto"/>
            </w:pPr>
            <w:r>
              <w:rPr>
                <w:rFonts w:ascii="Calibri" w:hAnsi="Calibri"/>
                <w:b w:val="0"/>
                <w:color w:val="162233"/>
                <w:sz w:val="18"/>
              </w:rPr>
              <w:t>Document purpose</w:t>
            </w:r>
          </w:p>
        </w:tc>
        <w:tc>
          <w:tcPr>
            <w:tcW w:type="dxa" w:w="6760"/>
            <w:vAlign w:val="center"/>
            <w:tcMar>
              <w:top w:w="80" w:type="dxa"/>
              <w:start w:w="120" w:type="dxa"/>
              <w:bottom w:w="80" w:type="dxa"/>
              <w:end w:w="120" w:type="dxa"/>
            </w:tcMar>
          </w:tcPr>
          <w:p>
            <w:pPr>
              <w:spacing w:before="0" w:after="40" w:line="276" w:lineRule="auto"/>
            </w:pPr>
            <w:r>
              <w:rPr>
                <w:rFonts w:ascii="Calibri" w:hAnsi="Calibri"/>
                <w:b w:val="0"/>
                <w:color w:val="162233"/>
                <w:sz w:val="18"/>
              </w:rPr>
              <w:t>Explain how the demo estimates likely POS geolocation and flags onboarding mismatch.</w:t>
            </w:r>
          </w:p>
        </w:tc>
      </w:tr>
    </w:tbl>
    <w:p>
      <w:pPr>
        <w:pStyle w:val="Heading1"/>
      </w:pPr>
      <w:r>
        <w:t>1. Executive Summary</w:t>
      </w:r>
    </w:p>
    <w:p>
      <w:pPr/>
      <w:r>
        <w:t>The app demonstrates how a payment processor can detect when a registered merchant device is not operating at the expected shop location. It does not try to identify a merchant only from a merchant name. Instead, it estimates the most likely physical shop for a POS transaction by combining device onboarding records, candidate shop locations, customer transaction history, transaction context, and behavioral fit.</w:t>
      </w:r>
    </w:p>
    <w:tbl>
      <w:tblPr>
        <w:tblStyle w:val="TableGrid"/>
        <w:tblW w:type="dxa" w:w="9360"/>
        <w:tblLayout w:type="fixed"/>
        <w:tblLook w:firstColumn="1" w:firstRow="1" w:lastColumn="0" w:lastRow="0" w:noHBand="0" w:noVBand="1" w:val="04A0"/>
        <w:jc w:val="left"/>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before="0" w:after="40" w:line="276" w:lineRule="auto"/>
            </w:pPr>
            <w:r>
              <w:rPr>
                <w:rFonts w:ascii="Calibri" w:hAnsi="Calibri"/>
                <w:b/>
                <w:color w:val="1F4D78"/>
                <w:sz w:val="20"/>
              </w:rPr>
              <w:t>Core idea</w:t>
            </w:r>
          </w:p>
        </w:tc>
      </w:tr>
      <w:tr>
        <w:tc>
          <w:tcPr>
            <w:tcW w:type="dxa" w:w="9360"/>
            <w:vAlign w:val="center"/>
            <w:tcMar>
              <w:top w:w="80" w:type="dxa"/>
              <w:start w:w="120" w:type="dxa"/>
              <w:bottom w:w="80" w:type="dxa"/>
              <w:end w:w="120" w:type="dxa"/>
            </w:tcMar>
            <w:shd w:fill="F4F6F9"/>
          </w:tcPr>
          <w:p>
            <w:pPr>
              <w:spacing w:before="0" w:after="40" w:line="276" w:lineRule="auto"/>
            </w:pPr>
            <w:r>
              <w:rPr>
                <w:rFonts w:ascii="Calibri" w:hAnsi="Calibri"/>
                <w:b w:val="0"/>
                <w:color w:val="162233"/>
                <w:sz w:val="19"/>
              </w:rPr>
              <w:t>A POS terminal can display an onboarded branch name such as JLT or Silicon Oasis, but the risk question is whether the actual device behavior matches the registered shop. The demo scores candidate shops, infers the best physical location, and flags distance between registered and inferred locations.</w:t>
            </w:r>
          </w:p>
        </w:tc>
      </w:tr>
    </w:tbl>
    <w:p/>
    <w:p>
      <w:pPr>
        <w:pStyle w:val="Heading1"/>
      </w:pPr>
      <w:r>
        <w:t>2. What the App Is Solving</w:t>
      </w:r>
    </w:p>
    <w:p>
      <w:pPr/>
      <w:r>
        <w:t>The business problem is device-location integrity. If a terminal is registered to one branch but operates somewhere else, the processor may face compliance, settlement, fraud-monitoring, customer-dispute, or merchant-control issues. The app treats geolocation as an evidence-combination problem rather than a simple string-matching problem.</w:t>
      </w:r>
    </w:p>
    <w:p>
      <w:pPr>
        <w:pStyle w:val="ListBullet"/>
        <w:spacing w:after="80" w:line="300" w:lineRule="auto"/>
      </w:pPr>
      <w:r>
        <w:t>Input: a transaction observed on a device, a registered device location, merchant/shop reference data, and customer transaction history.</w:t>
      </w:r>
    </w:p>
    <w:p>
      <w:pPr>
        <w:pStyle w:val="ListBullet"/>
        <w:spacing w:after="80" w:line="300" w:lineRule="auto"/>
      </w:pPr>
      <w:r>
        <w:t>Output: the most likely shop, approximate latitude and longitude, confidence, correction distance, and review status.</w:t>
      </w:r>
    </w:p>
    <w:p>
      <w:pPr>
        <w:pStyle w:val="ListBullet"/>
        <w:spacing w:after="80" w:line="300" w:lineRule="auto"/>
      </w:pPr>
      <w:r>
        <w:t>User workflow: simulate a transaction, inspect each score component, review recent 90-day tagged transactions, and drill into device/customer data tables.</w:t>
      </w:r>
    </w:p>
    <w:p>
      <w:pPr>
        <w:pStyle w:val="Heading1"/>
      </w:pPr>
      <w:r>
        <w:t>3. Data Model Used in the Demo</w:t>
      </w:r>
    </w:p>
    <w:p>
      <w:pPr/>
      <w:r>
        <w:t>The current app uses deterministic synthetic data so the demo is portable and repeatable. The generation is seeded, so the same seed produces the same merchant, customer, transaction, and location patterns.</w:t>
      </w:r>
    </w:p>
    <w:tbl>
      <w:tblPr>
        <w:tblStyle w:val="TableGrid"/>
        <w:tblW w:type="dxa" w:w="9360"/>
        <w:tblLayout w:type="fixed"/>
        <w:tblLook w:firstColumn="1" w:firstRow="1" w:lastColumn="0" w:lastRow="0" w:noHBand="0" w:noVBand="1" w:val="04A0"/>
        <w:jc w:val="left"/>
        <w:tblInd w:w="120" w:type="dxa"/>
      </w:tblPr>
      <w:tblGrid>
        <w:gridCol w:w="1800"/>
        <w:gridCol w:w="3520"/>
        <w:gridCol w:w="4040"/>
      </w:tblGrid>
      <w:tr>
        <w:trPr>
          <w:tblHeader w:val="true"/>
        </w:trPr>
        <w:tc>
          <w:tcPr>
            <w:tcW w:type="dxa" w:w="18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Entity</w:t>
            </w:r>
          </w:p>
        </w:tc>
        <w:tc>
          <w:tcPr>
            <w:tcW w:type="dxa" w:w="352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Generated fields</w:t>
            </w:r>
          </w:p>
        </w:tc>
        <w:tc>
          <w:tcPr>
            <w:tcW w:type="dxa" w:w="404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How it is used</w:t>
            </w:r>
          </w:p>
        </w:tc>
      </w:tr>
      <w:tr>
        <w:tc>
          <w:tcPr>
            <w:tcW w:type="dxa" w:w="1800"/>
            <w:vAlign w:val="center"/>
            <w:tcMar>
              <w:top w:w="80" w:type="dxa"/>
              <w:start w:w="120" w:type="dxa"/>
              <w:bottom w:w="80" w:type="dxa"/>
              <w:end w:w="120" w:type="dxa"/>
            </w:tcMar>
          </w:tcPr>
          <w:p>
            <w:pPr>
              <w:spacing w:before="0" w:after="40" w:line="276" w:lineRule="auto"/>
            </w:pPr>
            <w:r>
              <w:rPr>
                <w:rFonts w:ascii="Calibri" w:hAnsi="Calibri"/>
                <w:b w:val="0"/>
                <w:color w:val="162233"/>
                <w:sz w:val="18"/>
              </w:rPr>
              <w:t>Merchant / shop</w:t>
            </w:r>
          </w:p>
        </w:tc>
        <w:tc>
          <w:tcPr>
            <w:tcW w:type="dxa" w:w="3520"/>
            <w:vAlign w:val="center"/>
            <w:tcMar>
              <w:top w:w="80" w:type="dxa"/>
              <w:start w:w="120" w:type="dxa"/>
              <w:bottom w:w="80" w:type="dxa"/>
              <w:end w:w="120" w:type="dxa"/>
            </w:tcMar>
          </w:tcPr>
          <w:p>
            <w:pPr>
              <w:spacing w:before="0" w:after="40" w:line="276" w:lineRule="auto"/>
            </w:pPr>
            <w:r>
              <w:rPr>
                <w:rFonts w:ascii="Calibri" w:hAnsi="Calibri"/>
                <w:b w:val="0"/>
                <w:color w:val="162233"/>
                <w:sz w:val="18"/>
              </w:rPr>
              <w:t>ID, brand, category, branch, area, device ID, onboarded point, actual point, risk, average ticket, 30-day volume</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Creates the candidate shop universe and exposes registered-vs-actual device drift.</w:t>
            </w:r>
          </w:p>
        </w:tc>
      </w:tr>
      <w:tr>
        <w:tc>
          <w:tcPr>
            <w:tcW w:type="dxa" w:w="1800"/>
            <w:vAlign w:val="center"/>
            <w:tcMar>
              <w:top w:w="80" w:type="dxa"/>
              <w:start w:w="120" w:type="dxa"/>
              <w:bottom w:w="80" w:type="dxa"/>
              <w:end w:w="120" w:type="dxa"/>
            </w:tcMar>
          </w:tcPr>
          <w:p>
            <w:pPr>
              <w:spacing w:before="0" w:after="40" w:line="276" w:lineRule="auto"/>
            </w:pPr>
            <w:r>
              <w:rPr>
                <w:rFonts w:ascii="Calibri" w:hAnsi="Calibri"/>
                <w:b w:val="0"/>
                <w:color w:val="162233"/>
                <w:sz w:val="18"/>
              </w:rPr>
              <w:t>Customer</w:t>
            </w:r>
          </w:p>
        </w:tc>
        <w:tc>
          <w:tcPr>
            <w:tcW w:type="dxa" w:w="3520"/>
            <w:vAlign w:val="center"/>
            <w:tcMar>
              <w:top w:w="80" w:type="dxa"/>
              <w:start w:w="120" w:type="dxa"/>
              <w:bottom w:w="80" w:type="dxa"/>
              <w:end w:w="120" w:type="dxa"/>
            </w:tcMar>
          </w:tcPr>
          <w:p>
            <w:pPr>
              <w:spacing w:before="0" w:after="40" w:line="276" w:lineRule="auto"/>
            </w:pPr>
            <w:r>
              <w:rPr>
                <w:rFonts w:ascii="Calibri" w:hAnsi="Calibri"/>
                <w:b w:val="0"/>
                <w:color w:val="162233"/>
                <w:sz w:val="18"/>
              </w:rPr>
              <w:t>ID, segment, home point, work point, frequent areas, loyalty brands, 90-day transaction count</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Provides a customer orbit and behavioral history signals.</w:t>
            </w:r>
          </w:p>
        </w:tc>
      </w:tr>
      <w:tr>
        <w:tc>
          <w:tcPr>
            <w:tcW w:type="dxa" w:w="1800"/>
            <w:vAlign w:val="center"/>
            <w:tcMar>
              <w:top w:w="80" w:type="dxa"/>
              <w:start w:w="120" w:type="dxa"/>
              <w:bottom w:w="80" w:type="dxa"/>
              <w:end w:w="120" w:type="dxa"/>
            </w:tcMar>
          </w:tcPr>
          <w:p>
            <w:pPr>
              <w:spacing w:before="0" w:after="40" w:line="276" w:lineRule="auto"/>
            </w:pPr>
            <w:r>
              <w:rPr>
                <w:rFonts w:ascii="Calibri" w:hAnsi="Calibri"/>
                <w:b w:val="0"/>
                <w:color w:val="162233"/>
                <w:sz w:val="18"/>
              </w:rPr>
              <w:t>Historical transaction</w:t>
            </w:r>
          </w:p>
        </w:tc>
        <w:tc>
          <w:tcPr>
            <w:tcW w:type="dxa" w:w="3520"/>
            <w:vAlign w:val="center"/>
            <w:tcMar>
              <w:top w:w="80" w:type="dxa"/>
              <w:start w:w="120" w:type="dxa"/>
              <w:bottom w:w="80" w:type="dxa"/>
              <w:end w:w="120" w:type="dxa"/>
            </w:tcMar>
          </w:tcPr>
          <w:p>
            <w:pPr>
              <w:spacing w:before="0" w:after="40" w:line="276" w:lineRule="auto"/>
            </w:pPr>
            <w:r>
              <w:rPr>
                <w:rFonts w:ascii="Calibri" w:hAnsi="Calibri"/>
                <w:b w:val="0"/>
                <w:color w:val="162233"/>
                <w:sz w:val="18"/>
              </w:rPr>
              <w:t>Merchant, brand, shop, area, amount, hour, lat/long point</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Adds prior area, brand, same-shop, proximity, and amount-fit evidence.</w:t>
            </w:r>
          </w:p>
        </w:tc>
      </w:tr>
      <w:tr>
        <w:tc>
          <w:tcPr>
            <w:tcW w:type="dxa" w:w="1800"/>
            <w:vAlign w:val="center"/>
            <w:tcMar>
              <w:top w:w="80" w:type="dxa"/>
              <w:start w:w="120" w:type="dxa"/>
              <w:bottom w:w="80" w:type="dxa"/>
              <w:end w:w="120" w:type="dxa"/>
            </w:tcMar>
          </w:tcPr>
          <w:p>
            <w:pPr>
              <w:spacing w:before="0" w:after="40" w:line="276" w:lineRule="auto"/>
            </w:pPr>
            <w:r>
              <w:rPr>
                <w:rFonts w:ascii="Calibri" w:hAnsi="Calibri"/>
                <w:b w:val="0"/>
                <w:color w:val="162233"/>
                <w:sz w:val="18"/>
              </w:rPr>
              <w:t>Scenario input</w:t>
            </w:r>
          </w:p>
        </w:tc>
        <w:tc>
          <w:tcPr>
            <w:tcW w:type="dxa" w:w="3520"/>
            <w:vAlign w:val="center"/>
            <w:tcMar>
              <w:top w:w="80" w:type="dxa"/>
              <w:start w:w="120" w:type="dxa"/>
              <w:bottom w:w="80" w:type="dxa"/>
              <w:end w:w="120" w:type="dxa"/>
            </w:tcMar>
          </w:tcPr>
          <w:p>
            <w:pPr>
              <w:spacing w:before="0" w:after="40" w:line="276" w:lineRule="auto"/>
            </w:pPr>
            <w:r>
              <w:rPr>
                <w:rFonts w:ascii="Calibri" w:hAnsi="Calibri"/>
                <w:b w:val="0"/>
                <w:color w:val="162233"/>
                <w:sz w:val="18"/>
              </w:rPr>
              <w:t>Seed, device ID, registered lat/long, customer, brand, amount, hour</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Lets the user test different transaction contexts through the simulation modal.</w:t>
            </w:r>
          </w:p>
        </w:tc>
      </w:tr>
    </w:tbl>
    <w:p>
      <w:pPr>
        <w:pStyle w:val="Heading1"/>
      </w:pPr>
      <w:r>
        <w:t>4. Latitude and Longitude Logic</w:t>
      </w:r>
    </w:p>
    <w:p>
      <w:pPr/>
      <w:r>
        <w:t>In the demo, latitude and longitude are simulated around named Dubai areas. Each area has a base coordinate. Merchants, customers, and device registration points are created by adding a small seeded offset, called jitter, around the base coordinate. This creates realistic-looking but synthetic points around Dubai Marina, JLT, Downtown, Business Bay, Deira, Silicon Oasis, and other areas.</w:t>
      </w:r>
    </w:p>
    <w:tbl>
      <w:tblPr>
        <w:tblStyle w:val="TableGrid"/>
        <w:tblW w:type="dxa" w:w="9360"/>
        <w:tblLayout w:type="fixed"/>
        <w:tblLook w:firstColumn="1" w:firstRow="1" w:lastColumn="0" w:lastRow="0" w:noHBand="0" w:noVBand="1" w:val="04A0"/>
        <w:jc w:val="left"/>
        <w:tblInd w:w="120" w:type="dxa"/>
      </w:tblPr>
      <w:tblGrid>
        <w:gridCol w:w="1780"/>
        <w:gridCol w:w="4380"/>
        <w:gridCol w:w="3200"/>
      </w:tblGrid>
      <w:tr>
        <w:trPr>
          <w:tblHeader w:val="true"/>
        </w:trPr>
        <w:tc>
          <w:tcPr>
            <w:tcW w:type="dxa" w:w="178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Calculation</w:t>
            </w:r>
          </w:p>
        </w:tc>
        <w:tc>
          <w:tcPr>
            <w:tcW w:type="dxa" w:w="438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Formula / rule</w:t>
            </w:r>
          </w:p>
        </w:tc>
        <w:tc>
          <w:tcPr>
            <w:tcW w:type="dxa" w:w="32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Purpose</w:t>
            </w:r>
          </w:p>
        </w:tc>
      </w:tr>
      <w:tr>
        <w:tc>
          <w:tcPr>
            <w:tcW w:type="dxa" w:w="1780"/>
            <w:vAlign w:val="center"/>
            <w:tcMar>
              <w:top w:w="80" w:type="dxa"/>
              <w:start w:w="120" w:type="dxa"/>
              <w:bottom w:w="80" w:type="dxa"/>
              <w:end w:w="120" w:type="dxa"/>
            </w:tcMar>
          </w:tcPr>
          <w:p>
            <w:pPr>
              <w:spacing w:before="0" w:after="40" w:line="276" w:lineRule="auto"/>
            </w:pPr>
            <w:r>
              <w:rPr>
                <w:rFonts w:ascii="Calibri" w:hAnsi="Calibri"/>
                <w:b w:val="0"/>
                <w:color w:val="162233"/>
                <w:sz w:val="18"/>
              </w:rPr>
              <w:t>Synthetic point</w:t>
            </w:r>
          </w:p>
        </w:tc>
        <w:tc>
          <w:tcPr>
            <w:tcW w:type="dxa" w:w="4380"/>
            <w:vAlign w:val="center"/>
            <w:tcMar>
              <w:top w:w="80" w:type="dxa"/>
              <w:start w:w="120" w:type="dxa"/>
              <w:bottom w:w="80" w:type="dxa"/>
              <w:end w:w="120" w:type="dxa"/>
            </w:tcMar>
          </w:tcPr>
          <w:p>
            <w:pPr>
              <w:spacing w:before="0" w:after="40" w:line="276" w:lineRule="auto"/>
            </w:pPr>
            <w:r>
              <w:rPr>
                <w:rFonts w:ascii="Calibri" w:hAnsi="Calibri"/>
                <w:b w:val="0"/>
                <w:color w:val="162233"/>
                <w:sz w:val="18"/>
              </w:rPr>
              <w:t>lat = base.lat + (random - 0.5) x radius; lng = base.lng + (random - 0.5) x radius</w:t>
            </w:r>
          </w:p>
        </w:tc>
        <w:tc>
          <w:tcPr>
            <w:tcW w:type="dxa" w:w="3200"/>
            <w:vAlign w:val="center"/>
            <w:tcMar>
              <w:top w:w="80" w:type="dxa"/>
              <w:start w:w="120" w:type="dxa"/>
              <w:bottom w:w="80" w:type="dxa"/>
              <w:end w:w="120" w:type="dxa"/>
            </w:tcMar>
          </w:tcPr>
          <w:p>
            <w:pPr>
              <w:spacing w:before="0" w:after="40" w:line="276" w:lineRule="auto"/>
            </w:pPr>
            <w:r>
              <w:rPr>
                <w:rFonts w:ascii="Calibri" w:hAnsi="Calibri"/>
                <w:b w:val="0"/>
                <w:color w:val="162233"/>
                <w:sz w:val="18"/>
              </w:rPr>
              <w:t>Creates repeatable approximate points around a known area.</w:t>
            </w:r>
          </w:p>
        </w:tc>
      </w:tr>
      <w:tr>
        <w:tc>
          <w:tcPr>
            <w:tcW w:type="dxa" w:w="1780"/>
            <w:vAlign w:val="center"/>
            <w:tcMar>
              <w:top w:w="80" w:type="dxa"/>
              <w:start w:w="120" w:type="dxa"/>
              <w:bottom w:w="80" w:type="dxa"/>
              <w:end w:w="120" w:type="dxa"/>
            </w:tcMar>
          </w:tcPr>
          <w:p>
            <w:pPr>
              <w:spacing w:before="0" w:after="40" w:line="276" w:lineRule="auto"/>
            </w:pPr>
            <w:r>
              <w:rPr>
                <w:rFonts w:ascii="Calibri" w:hAnsi="Calibri"/>
                <w:b w:val="0"/>
                <w:color w:val="162233"/>
                <w:sz w:val="18"/>
              </w:rPr>
              <w:t>Distance</w:t>
            </w:r>
          </w:p>
        </w:tc>
        <w:tc>
          <w:tcPr>
            <w:tcW w:type="dxa" w:w="4380"/>
            <w:vAlign w:val="center"/>
            <w:tcMar>
              <w:top w:w="80" w:type="dxa"/>
              <w:start w:w="120" w:type="dxa"/>
              <w:bottom w:w="80" w:type="dxa"/>
              <w:end w:w="120" w:type="dxa"/>
            </w:tcMar>
          </w:tcPr>
          <w:p>
            <w:pPr>
              <w:spacing w:before="0" w:after="40" w:line="276" w:lineRule="auto"/>
            </w:pPr>
            <w:r>
              <w:rPr>
                <w:rFonts w:ascii="Calibri" w:hAnsi="Calibri"/>
                <w:b w:val="0"/>
                <w:color w:val="162233"/>
                <w:sz w:val="18"/>
              </w:rPr>
              <w:t>Haversine distance using Earth radius 6,371 km</w:t>
            </w:r>
          </w:p>
        </w:tc>
        <w:tc>
          <w:tcPr>
            <w:tcW w:type="dxa" w:w="3200"/>
            <w:vAlign w:val="center"/>
            <w:tcMar>
              <w:top w:w="80" w:type="dxa"/>
              <w:start w:w="120" w:type="dxa"/>
              <w:bottom w:w="80" w:type="dxa"/>
              <w:end w:w="120" w:type="dxa"/>
            </w:tcMar>
          </w:tcPr>
          <w:p>
            <w:pPr>
              <w:spacing w:before="0" w:after="40" w:line="276" w:lineRule="auto"/>
            </w:pPr>
            <w:r>
              <w:rPr>
                <w:rFonts w:ascii="Calibri" w:hAnsi="Calibri"/>
                <w:b w:val="0"/>
                <w:color w:val="162233"/>
                <w:sz w:val="18"/>
              </w:rPr>
              <w:t>Computes kilometers between customer, registered device, history, and candidate shop points.</w:t>
            </w:r>
          </w:p>
        </w:tc>
      </w:tr>
      <w:tr>
        <w:tc>
          <w:tcPr>
            <w:tcW w:type="dxa" w:w="1780"/>
            <w:vAlign w:val="center"/>
            <w:tcMar>
              <w:top w:w="80" w:type="dxa"/>
              <w:start w:w="120" w:type="dxa"/>
              <w:bottom w:w="80" w:type="dxa"/>
              <w:end w:w="120" w:type="dxa"/>
            </w:tcMar>
          </w:tcPr>
          <w:p>
            <w:pPr>
              <w:spacing w:before="0" w:after="40" w:line="276" w:lineRule="auto"/>
            </w:pPr>
            <w:r>
              <w:rPr>
                <w:rFonts w:ascii="Calibri" w:hAnsi="Calibri"/>
                <w:b w:val="0"/>
                <w:color w:val="162233"/>
                <w:sz w:val="18"/>
              </w:rPr>
              <w:t>Map projection</w:t>
            </w:r>
          </w:p>
        </w:tc>
        <w:tc>
          <w:tcPr>
            <w:tcW w:type="dxa" w:w="4380"/>
            <w:vAlign w:val="center"/>
            <w:tcMar>
              <w:top w:w="80" w:type="dxa"/>
              <w:start w:w="120" w:type="dxa"/>
              <w:bottom w:w="80" w:type="dxa"/>
              <w:end w:w="120" w:type="dxa"/>
            </w:tcMar>
          </w:tcPr>
          <w:p>
            <w:pPr>
              <w:spacing w:before="0" w:after="40" w:line="276" w:lineRule="auto"/>
            </w:pPr>
            <w:r>
              <w:rPr>
                <w:rFonts w:ascii="Calibri" w:hAnsi="Calibri"/>
                <w:b w:val="0"/>
                <w:color w:val="162233"/>
                <w:sz w:val="18"/>
              </w:rPr>
              <w:t>Normalize lat/long into the current scenario bounding box, then map to 8%-92% of the visual canvas</w:t>
            </w:r>
          </w:p>
        </w:tc>
        <w:tc>
          <w:tcPr>
            <w:tcW w:type="dxa" w:w="3200"/>
            <w:vAlign w:val="center"/>
            <w:tcMar>
              <w:top w:w="80" w:type="dxa"/>
              <w:start w:w="120" w:type="dxa"/>
              <w:bottom w:w="80" w:type="dxa"/>
              <w:end w:w="120" w:type="dxa"/>
            </w:tcMar>
          </w:tcPr>
          <w:p>
            <w:pPr>
              <w:spacing w:before="0" w:after="40" w:line="276" w:lineRule="auto"/>
            </w:pPr>
            <w:r>
              <w:rPr>
                <w:rFonts w:ascii="Calibri" w:hAnsi="Calibri"/>
                <w:b w:val="0"/>
                <w:color w:val="162233"/>
                <w:sz w:val="18"/>
              </w:rPr>
              <w:t>Makes the demo map move and reframe as simulation inputs change.</w:t>
            </w:r>
          </w:p>
        </w:tc>
      </w:tr>
      <w:tr>
        <w:tc>
          <w:tcPr>
            <w:tcW w:type="dxa" w:w="1780"/>
            <w:vAlign w:val="center"/>
            <w:tcMar>
              <w:top w:w="80" w:type="dxa"/>
              <w:start w:w="120" w:type="dxa"/>
              <w:bottom w:w="80" w:type="dxa"/>
              <w:end w:w="120" w:type="dxa"/>
            </w:tcMar>
          </w:tcPr>
          <w:p>
            <w:pPr>
              <w:spacing w:before="0" w:after="40" w:line="276" w:lineRule="auto"/>
            </w:pPr>
            <w:r>
              <w:rPr>
                <w:rFonts w:ascii="Calibri" w:hAnsi="Calibri"/>
                <w:b w:val="0"/>
                <w:color w:val="162233"/>
                <w:sz w:val="18"/>
              </w:rPr>
              <w:t>Area label</w:t>
            </w:r>
          </w:p>
        </w:tc>
        <w:tc>
          <w:tcPr>
            <w:tcW w:type="dxa" w:w="4380"/>
            <w:vAlign w:val="center"/>
            <w:tcMar>
              <w:top w:w="80" w:type="dxa"/>
              <w:start w:w="120" w:type="dxa"/>
              <w:bottom w:w="80" w:type="dxa"/>
              <w:end w:w="120" w:type="dxa"/>
            </w:tcMar>
          </w:tcPr>
          <w:p>
            <w:pPr>
              <w:spacing w:before="0" w:after="40" w:line="276" w:lineRule="auto"/>
            </w:pPr>
            <w:r>
              <w:rPr>
                <w:rFonts w:ascii="Calibri" w:hAnsi="Calibri"/>
                <w:b w:val="0"/>
                <w:color w:val="162233"/>
                <w:sz w:val="18"/>
              </w:rPr>
              <w:t>Nearest named Dubai area by Haversine distance</w:t>
            </w:r>
          </w:p>
        </w:tc>
        <w:tc>
          <w:tcPr>
            <w:tcW w:type="dxa" w:w="3200"/>
            <w:vAlign w:val="center"/>
            <w:tcMar>
              <w:top w:w="80" w:type="dxa"/>
              <w:start w:w="120" w:type="dxa"/>
              <w:bottom w:w="80" w:type="dxa"/>
              <w:end w:w="120" w:type="dxa"/>
            </w:tcMar>
          </w:tcPr>
          <w:p>
            <w:pPr>
              <w:spacing w:before="0" w:after="40" w:line="276" w:lineRule="auto"/>
            </w:pPr>
            <w:r>
              <w:rPr>
                <w:rFonts w:ascii="Calibri" w:hAnsi="Calibri"/>
                <w:b w:val="0"/>
                <w:color w:val="162233"/>
                <w:sz w:val="18"/>
              </w:rPr>
              <w:t>Converts a point back into a human-readable registered or inferred area.</w:t>
            </w:r>
          </w:p>
        </w:tc>
      </w:tr>
    </w:tbl>
    <w:tbl>
      <w:tblPr>
        <w:tblStyle w:val="TableGrid"/>
        <w:tblW w:type="dxa" w:w="9360"/>
        <w:tblLayout w:type="fixed"/>
        <w:tblLook w:firstColumn="1" w:firstRow="1" w:lastColumn="0" w:lastRow="0" w:noHBand="0" w:noVBand="1" w:val="04A0"/>
        <w:jc w:val="left"/>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before="0" w:after="40" w:line="276" w:lineRule="auto"/>
            </w:pPr>
            <w:r>
              <w:rPr>
                <w:rFonts w:ascii="Calibri" w:hAnsi="Calibri"/>
                <w:b/>
                <w:color w:val="1F4D78"/>
                <w:sz w:val="20"/>
              </w:rPr>
              <w:t>Production equivalent</w:t>
            </w:r>
          </w:p>
        </w:tc>
      </w:tr>
      <w:tr>
        <w:tc>
          <w:tcPr>
            <w:tcW w:type="dxa" w:w="9360"/>
            <w:vAlign w:val="center"/>
            <w:tcMar>
              <w:top w:w="80" w:type="dxa"/>
              <w:start w:w="120" w:type="dxa"/>
              <w:bottom w:w="80" w:type="dxa"/>
              <w:end w:w="120" w:type="dxa"/>
            </w:tcMar>
            <w:shd w:fill="F4F6F9"/>
          </w:tcPr>
          <w:p>
            <w:pPr>
              <w:spacing w:before="0" w:after="40" w:line="276" w:lineRule="auto"/>
            </w:pPr>
            <w:r>
              <w:rPr>
                <w:rFonts w:ascii="Calibri" w:hAnsi="Calibri"/>
                <w:b w:val="0"/>
                <w:color w:val="162233"/>
                <w:sz w:val="19"/>
              </w:rPr>
              <w:t>In a live system, these synthetic coordinates would be replaced with terminal onboarding coordinates, merchant master geocodes, store master addresses, payment terminal telemetry where permitted, geocoding APIs, and customer transaction history from authorization or settlement records.</w:t>
            </w:r>
          </w:p>
        </w:tc>
      </w:tr>
    </w:tbl>
    <w:p/>
    <w:p>
      <w:pPr>
        <w:pStyle w:val="Heading1"/>
      </w:pPr>
      <w:r>
        <w:t>5. Candidate Scoring Logic</w:t>
      </w:r>
    </w:p>
    <w:p>
      <w:pPr/>
      <w:r>
        <w:t>The app filters candidate shops by the observed brand and scores each candidate. The highest-scoring candidate becomes the inferred shop. Confidence is shown as the rounded score multiplied by 100.</w:t>
      </w:r>
    </w:p>
    <w:p>
      <w:pPr/>
      <w:r>
        <w:t>Score = weighted positive signals - density penalty. The implemented weights sum to 1.00 before the penalty.</w:t>
      </w:r>
    </w:p>
    <w:tbl>
      <w:tblPr>
        <w:tblStyle w:val="TableGrid"/>
        <w:tblW w:type="dxa" w:w="9360"/>
        <w:tblLayout w:type="fixed"/>
        <w:tblLook w:firstColumn="1" w:firstRow="1" w:lastColumn="0" w:lastRow="0" w:noHBand="0" w:noVBand="1" w:val="04A0"/>
        <w:jc w:val="left"/>
        <w:tblInd w:w="120" w:type="dxa"/>
      </w:tblPr>
      <w:tblGrid>
        <w:gridCol w:w="1720"/>
        <w:gridCol w:w="900"/>
        <w:gridCol w:w="2700"/>
        <w:gridCol w:w="4040"/>
      </w:tblGrid>
      <w:tr>
        <w:trPr>
          <w:tblHeader w:val="true"/>
        </w:trPr>
        <w:tc>
          <w:tcPr>
            <w:tcW w:type="dxa" w:w="172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Signal</w:t>
            </w:r>
          </w:p>
        </w:tc>
        <w:tc>
          <w:tcPr>
            <w:tcW w:type="dxa" w:w="9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Weight</w:t>
            </w:r>
          </w:p>
        </w:tc>
        <w:tc>
          <w:tcPr>
            <w:tcW w:type="dxa" w:w="27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What it measures</w:t>
            </w:r>
          </w:p>
        </w:tc>
        <w:tc>
          <w:tcPr>
            <w:tcW w:type="dxa" w:w="404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Implemented logic</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Customer orbit</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0.18</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Whether the shop sits near the customer's home/work movement pattern</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1 - min(home distance, work distance) / 18 km</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Area behavior</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0.12</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Whether the shop area appears in the customer's frequent areas</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0.94 if frequent area, otherwise 0.38</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Repeat brand</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0.08</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Whether the customer has brand affinity</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0.92 if loyalty brand, otherwise 0.42</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Ticket fit</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0.09</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Whether the transaction amount fits the shop average</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1 - abs(amount - shop avg ticket) / 180</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Time fit</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0.08</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Whether the time fits work/home orbit</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Morning favors work; evening favors home; midday is neutral 0.70</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 record fit</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0.08</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Whether registered device point is near the candidate shop</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1 - distance(registered device, candidate actual) / 25 km</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History area visits</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0.13</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Customer's 90-day concentration in that area</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area transaction share scaled by 0.35</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History brand visits</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0.09</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Customer's 90-day concentration in that brand</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brand transaction share scaled by 0.30</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Same-shop repeats</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0.08</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Prior transactions at the exact candidate merchant</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same-shop share scaled by 0.16</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History proximity</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0.05</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Distance to nearest historical shop point</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1 - nearest historical shop distance / 12 km</w:t>
            </w:r>
          </w:p>
        </w:tc>
      </w:tr>
      <w:tr>
        <w:tc>
          <w:tcPr>
            <w:tcW w:type="dxa" w:w="1720"/>
            <w:vAlign w:val="center"/>
            <w:tcMar>
              <w:top w:w="80" w:type="dxa"/>
              <w:start w:w="120" w:type="dxa"/>
              <w:bottom w:w="80" w:type="dxa"/>
              <w:end w:w="120" w:type="dxa"/>
            </w:tcMar>
          </w:tcPr>
          <w:p>
            <w:pPr>
              <w:spacing w:before="0" w:after="40" w:line="276" w:lineRule="auto"/>
            </w:pPr>
            <w:r>
              <w:rPr>
                <w:rFonts w:ascii="Calibri" w:hAnsi="Calibri"/>
                <w:b w:val="0"/>
                <w:color w:val="162233"/>
                <w:sz w:val="18"/>
              </w:rPr>
              <w:t>History ticket fit</w:t>
            </w:r>
          </w:p>
        </w:tc>
        <w:tc>
          <w:tcPr>
            <w:tcW w:type="dxa" w:w="900"/>
            <w:vAlign w:val="center"/>
            <w:tcMar>
              <w:top w:w="80" w:type="dxa"/>
              <w:start w:w="120" w:type="dxa"/>
              <w:bottom w:w="80" w:type="dxa"/>
              <w:end w:w="120" w:type="dxa"/>
            </w:tcMar>
          </w:tcPr>
          <w:p>
            <w:pPr>
              <w:spacing w:before="0" w:after="40" w:line="276" w:lineRule="auto"/>
            </w:pPr>
            <w:r>
              <w:rPr>
                <w:rFonts w:ascii="Calibri" w:hAnsi="Calibri"/>
                <w:b w:val="0"/>
                <w:color w:val="162233"/>
                <w:sz w:val="18"/>
              </w:rPr>
              <w:t>0.02</w:t>
            </w:r>
          </w:p>
        </w:tc>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162233"/>
                <w:sz w:val="18"/>
              </w:rPr>
              <w:t>Amount fit against customer-specific brand average</w:t>
            </w:r>
          </w:p>
        </w:tc>
        <w:tc>
          <w:tcPr>
            <w:tcW w:type="dxa" w:w="4040"/>
            <w:vAlign w:val="center"/>
            <w:tcMar>
              <w:top w:w="80" w:type="dxa"/>
              <w:start w:w="120" w:type="dxa"/>
              <w:bottom w:w="80" w:type="dxa"/>
              <w:end w:w="120" w:type="dxa"/>
            </w:tcMar>
          </w:tcPr>
          <w:p>
            <w:pPr>
              <w:spacing w:before="0" w:after="40" w:line="276" w:lineRule="auto"/>
            </w:pPr>
            <w:r>
              <w:rPr>
                <w:rFonts w:ascii="Calibri" w:hAnsi="Calibri"/>
                <w:b w:val="0"/>
                <w:color w:val="162233"/>
                <w:sz w:val="18"/>
              </w:rPr>
              <w:t>1 - abs(amount - customer's brand average) / 180</w:t>
            </w:r>
          </w:p>
        </w:tc>
      </w:tr>
    </w:tbl>
    <w:tbl>
      <w:tblPr>
        <w:tblStyle w:val="TableGrid"/>
        <w:tblW w:type="dxa" w:w="9360"/>
        <w:tblLayout w:type="fixed"/>
        <w:tblLook w:firstColumn="1" w:firstRow="1" w:lastColumn="0" w:lastRow="0" w:noHBand="0" w:noVBand="1" w:val="04A0"/>
        <w:jc w:val="left"/>
        <w:tblInd w:w="120" w:type="dxa"/>
      </w:tblPr>
      <w:tblGrid>
        <w:gridCol w:w="1900"/>
        <w:gridCol w:w="3600"/>
        <w:gridCol w:w="3860"/>
      </w:tblGrid>
      <w:tr>
        <w:trPr>
          <w:tblHeader w:val="true"/>
        </w:trPr>
        <w:tc>
          <w:tcPr>
            <w:tcW w:type="dxa" w:w="1900"/>
            <w:vAlign w:val="center"/>
            <w:tcMar>
              <w:top w:w="80" w:type="dxa"/>
              <w:start w:w="120" w:type="dxa"/>
              <w:bottom w:w="80" w:type="dxa"/>
              <w:end w:w="120" w:type="dxa"/>
            </w:tcMar>
            <w:shd w:fill="FDECEC"/>
          </w:tcPr>
          <w:p>
            <w:pPr>
              <w:spacing w:before="0" w:after="40" w:line="276" w:lineRule="auto"/>
            </w:pPr>
            <w:r>
              <w:rPr>
                <w:rFonts w:ascii="Calibri" w:hAnsi="Calibri"/>
                <w:b/>
                <w:color w:val="1F4D78"/>
                <w:sz w:val="18"/>
              </w:rPr>
              <w:t>Penalty</w:t>
            </w:r>
          </w:p>
        </w:tc>
        <w:tc>
          <w:tcPr>
            <w:tcW w:type="dxa" w:w="3600"/>
            <w:vAlign w:val="center"/>
            <w:tcMar>
              <w:top w:w="80" w:type="dxa"/>
              <w:start w:w="120" w:type="dxa"/>
              <w:bottom w:w="80" w:type="dxa"/>
              <w:end w:w="120" w:type="dxa"/>
            </w:tcMar>
            <w:shd w:fill="FDECEC"/>
          </w:tcPr>
          <w:p>
            <w:pPr>
              <w:spacing w:before="0" w:after="40" w:line="276" w:lineRule="auto"/>
            </w:pPr>
            <w:r>
              <w:rPr>
                <w:rFonts w:ascii="Calibri" w:hAnsi="Calibri"/>
                <w:b/>
                <w:color w:val="1F4D78"/>
                <w:sz w:val="18"/>
              </w:rPr>
              <w:t>Rule</w:t>
            </w:r>
          </w:p>
        </w:tc>
        <w:tc>
          <w:tcPr>
            <w:tcW w:type="dxa" w:w="3860"/>
            <w:vAlign w:val="center"/>
            <w:tcMar>
              <w:top w:w="80" w:type="dxa"/>
              <w:start w:w="120" w:type="dxa"/>
              <w:bottom w:w="80" w:type="dxa"/>
              <w:end w:w="120" w:type="dxa"/>
            </w:tcMar>
            <w:shd w:fill="FDECEC"/>
          </w:tcPr>
          <w:p>
            <w:pPr>
              <w:spacing w:before="0" w:after="40" w:line="276" w:lineRule="auto"/>
            </w:pPr>
            <w:r>
              <w:rPr>
                <w:rFonts w:ascii="Calibri" w:hAnsi="Calibri"/>
                <w:b/>
                <w:color w:val="1F4D78"/>
                <w:sz w:val="18"/>
              </w:rPr>
              <w:t>Reason</w:t>
            </w:r>
          </w:p>
        </w:tc>
      </w:tr>
      <w:tr>
        <w:tc>
          <w:tcPr>
            <w:tcW w:type="dxa" w:w="1900"/>
            <w:vAlign w:val="center"/>
            <w:tcMar>
              <w:top w:w="80" w:type="dxa"/>
              <w:start w:w="120" w:type="dxa"/>
              <w:bottom w:w="80" w:type="dxa"/>
              <w:end w:w="120" w:type="dxa"/>
            </w:tcMar>
          </w:tcPr>
          <w:p>
            <w:pPr>
              <w:spacing w:before="0" w:after="40" w:line="276" w:lineRule="auto"/>
            </w:pPr>
            <w:r>
              <w:rPr>
                <w:rFonts w:ascii="Calibri" w:hAnsi="Calibri"/>
                <w:b w:val="0"/>
                <w:color w:val="162233"/>
                <w:sz w:val="18"/>
              </w:rPr>
              <w:t>Density penalty</w:t>
            </w:r>
          </w:p>
        </w:tc>
        <w:tc>
          <w:tcPr>
            <w:tcW w:type="dxa" w:w="3600"/>
            <w:vAlign w:val="center"/>
            <w:tcMar>
              <w:top w:w="80" w:type="dxa"/>
              <w:start w:w="120" w:type="dxa"/>
              <w:bottom w:w="80" w:type="dxa"/>
              <w:end w:w="120" w:type="dxa"/>
            </w:tcMar>
          </w:tcPr>
          <w:p>
            <w:pPr>
              <w:spacing w:before="0" w:after="40" w:line="276" w:lineRule="auto"/>
            </w:pPr>
            <w:r>
              <w:rPr>
                <w:rFonts w:ascii="Calibri" w:hAnsi="Calibri"/>
                <w:b w:val="0"/>
                <w:color w:val="162233"/>
                <w:sz w:val="18"/>
              </w:rPr>
              <w:t>Subtract 0.04 when a shop has more than 6,000 transactions in 30 days</w:t>
            </w:r>
          </w:p>
        </w:tc>
        <w:tc>
          <w:tcPr>
            <w:tcW w:type="dxa" w:w="3860"/>
            <w:vAlign w:val="center"/>
            <w:tcMar>
              <w:top w:w="80" w:type="dxa"/>
              <w:start w:w="120" w:type="dxa"/>
              <w:bottom w:w="80" w:type="dxa"/>
              <w:end w:w="120" w:type="dxa"/>
            </w:tcMar>
          </w:tcPr>
          <w:p>
            <w:pPr>
              <w:spacing w:before="0" w:after="40" w:line="276" w:lineRule="auto"/>
            </w:pPr>
            <w:r>
              <w:rPr>
                <w:rFonts w:ascii="Calibri" w:hAnsi="Calibri"/>
                <w:b w:val="0"/>
                <w:color w:val="162233"/>
                <w:sz w:val="18"/>
              </w:rPr>
              <w:t>Very dense/high-volume branches can look statistically plausible too often, so the score is slightly dampened.</w:t>
            </w:r>
          </w:p>
        </w:tc>
      </w:tr>
    </w:tbl>
    <w:p>
      <w:pPr>
        <w:pStyle w:val="Heading1"/>
      </w:pPr>
      <w:r>
        <w:t>6. Customer Transaction History</w:t>
      </w:r>
    </w:p>
    <w:p>
      <w:pPr/>
      <w:r>
        <w:t>Customer history is used to improve the inference beyond merchant/device information. For each customer, the app builds a synthetic 90-day history and calculates counts by area, brand, merchant, nearest historical location, and average amount by brand.</w:t>
      </w:r>
    </w:p>
    <w:p>
      <w:pPr>
        <w:pStyle w:val="ListBullet"/>
        <w:spacing w:after="80" w:line="300" w:lineRule="auto"/>
      </w:pPr>
      <w:r>
        <w:t>Area counts answer: does this customer regularly transact in the inferred area?</w:t>
      </w:r>
    </w:p>
    <w:p>
      <w:pPr>
        <w:pStyle w:val="ListBullet"/>
        <w:spacing w:after="80" w:line="300" w:lineRule="auto"/>
      </w:pPr>
      <w:r>
        <w:t>Brand counts answer: does this customer regularly use this brand?</w:t>
      </w:r>
    </w:p>
    <w:p>
      <w:pPr>
        <w:pStyle w:val="ListBullet"/>
        <w:spacing w:after="80" w:line="300" w:lineRule="auto"/>
      </w:pPr>
      <w:r>
        <w:t>Merchant counts answer: has this exact shop appeared before?</w:t>
      </w:r>
    </w:p>
    <w:p>
      <w:pPr>
        <w:pStyle w:val="ListBullet"/>
        <w:spacing w:after="80" w:line="300" w:lineRule="auto"/>
      </w:pPr>
      <w:r>
        <w:t>Nearest historical location answers: is this candidate close to any prior customer transaction point?</w:t>
      </w:r>
    </w:p>
    <w:p>
      <w:pPr>
        <w:pStyle w:val="ListBullet"/>
        <w:spacing w:after="80" w:line="300" w:lineRule="auto"/>
      </w:pPr>
      <w:r>
        <w:t>Average amount by brand answers: is the current transaction amount normal for this customer and brand?</w:t>
      </w:r>
    </w:p>
    <w:p>
      <w:pPr>
        <w:pStyle w:val="Heading1"/>
      </w:pPr>
      <w:r>
        <w:t>7. Device Movement and Flagging</w:t>
      </w:r>
    </w:p>
    <w:p>
      <w:pPr/>
      <w:r>
        <w:t>The app compares the registered/onboarded device coordinate with the inferred or actual shop coordinate. That distance drives correction status, device-movement classification, and the red flags in the transaction review table.</w:t>
      </w:r>
    </w:p>
    <w:tbl>
      <w:tblPr>
        <w:tblStyle w:val="TableGrid"/>
        <w:tblW w:type="dxa" w:w="9360"/>
        <w:tblLayout w:type="fixed"/>
        <w:tblLook w:firstColumn="1" w:firstRow="1" w:lastColumn="0" w:lastRow="0" w:noHBand="0" w:noVBand="1" w:val="04A0"/>
        <w:jc w:val="left"/>
        <w:tblInd w:w="120" w:type="dxa"/>
      </w:tblPr>
      <w:tblGrid>
        <w:gridCol w:w="2200"/>
        <w:gridCol w:w="2860"/>
        <w:gridCol w:w="4300"/>
      </w:tblGrid>
      <w:tr>
        <w:trPr>
          <w:tblHeader w:val="true"/>
        </w:trPr>
        <w:tc>
          <w:tcPr>
            <w:tcW w:type="dxa" w:w="22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Check</w:t>
            </w:r>
          </w:p>
        </w:tc>
        <w:tc>
          <w:tcPr>
            <w:tcW w:type="dxa" w:w="286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Threshold</w:t>
            </w:r>
          </w:p>
        </w:tc>
        <w:tc>
          <w:tcPr>
            <w:tcW w:type="dxa" w:w="43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Displayed meaning</w:t>
            </w:r>
          </w:p>
        </w:tc>
      </w:tr>
      <w:tr>
        <w:tc>
          <w:tcPr>
            <w:tcW w:type="dxa" w:w="2200"/>
            <w:vAlign w:val="center"/>
            <w:tcMar>
              <w:top w:w="80" w:type="dxa"/>
              <w:start w:w="120" w:type="dxa"/>
              <w:bottom w:w="80" w:type="dxa"/>
              <w:end w:w="120" w:type="dxa"/>
            </w:tcMar>
          </w:tcPr>
          <w:p>
            <w:pPr>
              <w:spacing w:before="0" w:after="40" w:line="276" w:lineRule="auto"/>
            </w:pPr>
            <w:r>
              <w:rPr>
                <w:rFonts w:ascii="Calibri" w:hAnsi="Calibri"/>
                <w:b w:val="0"/>
                <w:color w:val="162233"/>
                <w:sz w:val="18"/>
              </w:rPr>
              <w:t>Transaction status</w:t>
            </w:r>
          </w:p>
        </w:tc>
        <w:tc>
          <w:tcPr>
            <w:tcW w:type="dxa" w:w="2860"/>
            <w:vAlign w:val="center"/>
            <w:tcMar>
              <w:top w:w="80" w:type="dxa"/>
              <w:start w:w="120" w:type="dxa"/>
              <w:bottom w:w="80" w:type="dxa"/>
              <w:end w:w="120" w:type="dxa"/>
            </w:tcMar>
          </w:tcPr>
          <w:p>
            <w:pPr>
              <w:spacing w:before="0" w:after="40" w:line="276" w:lineRule="auto"/>
            </w:pPr>
            <w:r>
              <w:rPr>
                <w:rFonts w:ascii="Calibri" w:hAnsi="Calibri"/>
                <w:b w:val="0"/>
                <w:color w:val="162233"/>
                <w:sz w:val="18"/>
              </w:rPr>
              <w:t>Correction distance &lt; 1 km</w:t>
            </w:r>
          </w:p>
        </w:tc>
        <w:tc>
          <w:tcPr>
            <w:tcW w:type="dxa" w:w="4300"/>
            <w:vAlign w:val="center"/>
            <w:tcMar>
              <w:top w:w="80" w:type="dxa"/>
              <w:start w:w="120" w:type="dxa"/>
              <w:bottom w:w="80" w:type="dxa"/>
              <w:end w:w="120" w:type="dxa"/>
            </w:tcMar>
          </w:tcPr>
          <w:p>
            <w:pPr>
              <w:spacing w:before="0" w:after="40" w:line="276" w:lineRule="auto"/>
            </w:pPr>
            <w:r>
              <w:rPr>
                <w:rFonts w:ascii="Calibri" w:hAnsi="Calibri"/>
                <w:b w:val="0"/>
                <w:color w:val="162233"/>
                <w:sz w:val="18"/>
              </w:rPr>
              <w:t>Accurate</w:t>
            </w:r>
          </w:p>
        </w:tc>
      </w:tr>
      <w:tr>
        <w:tc>
          <w:tcPr>
            <w:tcW w:type="dxa" w:w="2200"/>
            <w:vAlign w:val="center"/>
            <w:tcMar>
              <w:top w:w="80" w:type="dxa"/>
              <w:start w:w="120" w:type="dxa"/>
              <w:bottom w:w="80" w:type="dxa"/>
              <w:end w:w="120" w:type="dxa"/>
            </w:tcMar>
          </w:tcPr>
          <w:p>
            <w:pPr>
              <w:spacing w:before="0" w:after="40" w:line="276" w:lineRule="auto"/>
            </w:pPr>
            <w:r>
              <w:rPr>
                <w:rFonts w:ascii="Calibri" w:hAnsi="Calibri"/>
                <w:b w:val="0"/>
                <w:color w:val="162233"/>
                <w:sz w:val="18"/>
              </w:rPr>
              <w:t>Transaction status</w:t>
            </w:r>
          </w:p>
        </w:tc>
        <w:tc>
          <w:tcPr>
            <w:tcW w:type="dxa" w:w="2860"/>
            <w:vAlign w:val="center"/>
            <w:tcMar>
              <w:top w:w="80" w:type="dxa"/>
              <w:start w:w="120" w:type="dxa"/>
              <w:bottom w:w="80" w:type="dxa"/>
              <w:end w:w="120" w:type="dxa"/>
            </w:tcMar>
          </w:tcPr>
          <w:p>
            <w:pPr>
              <w:spacing w:before="0" w:after="40" w:line="276" w:lineRule="auto"/>
            </w:pPr>
            <w:r>
              <w:rPr>
                <w:rFonts w:ascii="Calibri" w:hAnsi="Calibri"/>
                <w:b w:val="0"/>
                <w:color w:val="162233"/>
                <w:sz w:val="18"/>
              </w:rPr>
              <w:t>Correction distance &gt;= 1 km and &lt; 8 km</w:t>
            </w:r>
          </w:p>
        </w:tc>
        <w:tc>
          <w:tcPr>
            <w:tcW w:type="dxa" w:w="4300"/>
            <w:vAlign w:val="center"/>
            <w:tcMar>
              <w:top w:w="80" w:type="dxa"/>
              <w:start w:w="120" w:type="dxa"/>
              <w:bottom w:w="80" w:type="dxa"/>
              <w:end w:w="120" w:type="dxa"/>
            </w:tcMar>
          </w:tcPr>
          <w:p>
            <w:pPr>
              <w:spacing w:before="0" w:after="40" w:line="276" w:lineRule="auto"/>
            </w:pPr>
            <w:r>
              <w:rPr>
                <w:rFonts w:ascii="Calibri" w:hAnsi="Calibri"/>
                <w:b w:val="0"/>
                <w:color w:val="162233"/>
                <w:sz w:val="18"/>
              </w:rPr>
              <w:t>Review</w:t>
            </w:r>
          </w:p>
        </w:tc>
      </w:tr>
      <w:tr>
        <w:tc>
          <w:tcPr>
            <w:tcW w:type="dxa" w:w="2200"/>
            <w:vAlign w:val="center"/>
            <w:tcMar>
              <w:top w:w="80" w:type="dxa"/>
              <w:start w:w="120" w:type="dxa"/>
              <w:bottom w:w="80" w:type="dxa"/>
              <w:end w:w="120" w:type="dxa"/>
            </w:tcMar>
          </w:tcPr>
          <w:p>
            <w:pPr>
              <w:spacing w:before="0" w:after="40" w:line="276" w:lineRule="auto"/>
            </w:pPr>
            <w:r>
              <w:rPr>
                <w:rFonts w:ascii="Calibri" w:hAnsi="Calibri"/>
                <w:b w:val="0"/>
                <w:color w:val="162233"/>
                <w:sz w:val="18"/>
              </w:rPr>
              <w:t>Transaction status</w:t>
            </w:r>
          </w:p>
        </w:tc>
        <w:tc>
          <w:tcPr>
            <w:tcW w:type="dxa" w:w="2860"/>
            <w:vAlign w:val="center"/>
            <w:tcMar>
              <w:top w:w="80" w:type="dxa"/>
              <w:start w:w="120" w:type="dxa"/>
              <w:bottom w:w="80" w:type="dxa"/>
              <w:end w:w="120" w:type="dxa"/>
            </w:tcMar>
          </w:tcPr>
          <w:p>
            <w:pPr>
              <w:spacing w:before="0" w:after="40" w:line="276" w:lineRule="auto"/>
            </w:pPr>
            <w:r>
              <w:rPr>
                <w:rFonts w:ascii="Calibri" w:hAnsi="Calibri"/>
                <w:b w:val="0"/>
                <w:color w:val="162233"/>
                <w:sz w:val="18"/>
              </w:rPr>
              <w:t>Correction distance &gt;= 8 km</w:t>
            </w:r>
          </w:p>
        </w:tc>
        <w:tc>
          <w:tcPr>
            <w:tcW w:type="dxa" w:w="4300"/>
            <w:vAlign w:val="center"/>
            <w:tcMar>
              <w:top w:w="80" w:type="dxa"/>
              <w:start w:w="120" w:type="dxa"/>
              <w:bottom w:w="80" w:type="dxa"/>
              <w:end w:w="120" w:type="dxa"/>
            </w:tcMar>
          </w:tcPr>
          <w:p>
            <w:pPr>
              <w:spacing w:before="0" w:after="40" w:line="276" w:lineRule="auto"/>
            </w:pPr>
            <w:r>
              <w:rPr>
                <w:rFonts w:ascii="Calibri" w:hAnsi="Calibri"/>
                <w:b w:val="0"/>
                <w:color w:val="162233"/>
                <w:sz w:val="18"/>
              </w:rPr>
              <w:t>Incorrect</w:t>
            </w:r>
          </w:p>
        </w:tc>
      </w:tr>
      <w:tr>
        <w:tc>
          <w:tcPr>
            <w:tcW w:type="dxa" w:w="220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 movement</w:t>
            </w:r>
          </w:p>
        </w:tc>
        <w:tc>
          <w:tcPr>
            <w:tcW w:type="dxa" w:w="2860"/>
            <w:vAlign w:val="center"/>
            <w:tcMar>
              <w:top w:w="80" w:type="dxa"/>
              <w:start w:w="120" w:type="dxa"/>
              <w:bottom w:w="80" w:type="dxa"/>
              <w:end w:w="120" w:type="dxa"/>
            </w:tcMar>
          </w:tcPr>
          <w:p>
            <w:pPr>
              <w:spacing w:before="0" w:after="40" w:line="276" w:lineRule="auto"/>
            </w:pPr>
            <w:r>
              <w:rPr>
                <w:rFonts w:ascii="Calibri" w:hAnsi="Calibri"/>
                <w:b w:val="0"/>
                <w:color w:val="162233"/>
                <w:sz w:val="18"/>
              </w:rPr>
              <w:t>Drift &lt; 1 km</w:t>
            </w:r>
          </w:p>
        </w:tc>
        <w:tc>
          <w:tcPr>
            <w:tcW w:type="dxa" w:w="4300"/>
            <w:vAlign w:val="center"/>
            <w:tcMar>
              <w:top w:w="80" w:type="dxa"/>
              <w:start w:w="120" w:type="dxa"/>
              <w:bottom w:w="80" w:type="dxa"/>
              <w:end w:w="120" w:type="dxa"/>
            </w:tcMar>
          </w:tcPr>
          <w:p>
            <w:pPr>
              <w:spacing w:before="0" w:after="40" w:line="276" w:lineRule="auto"/>
            </w:pPr>
            <w:r>
              <w:rPr>
                <w:rFonts w:ascii="Calibri" w:hAnsi="Calibri"/>
                <w:b w:val="0"/>
                <w:color w:val="162233"/>
                <w:sz w:val="18"/>
              </w:rPr>
              <w:t>Same store/location</w:t>
            </w:r>
          </w:p>
        </w:tc>
      </w:tr>
      <w:tr>
        <w:tc>
          <w:tcPr>
            <w:tcW w:type="dxa" w:w="220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 movement</w:t>
            </w:r>
          </w:p>
        </w:tc>
        <w:tc>
          <w:tcPr>
            <w:tcW w:type="dxa" w:w="2860"/>
            <w:vAlign w:val="center"/>
            <w:tcMar>
              <w:top w:w="80" w:type="dxa"/>
              <w:start w:w="120" w:type="dxa"/>
              <w:bottom w:w="80" w:type="dxa"/>
              <w:end w:w="120" w:type="dxa"/>
            </w:tcMar>
          </w:tcPr>
          <w:p>
            <w:pPr>
              <w:spacing w:before="0" w:after="40" w:line="276" w:lineRule="auto"/>
            </w:pPr>
            <w:r>
              <w:rPr>
                <w:rFonts w:ascii="Calibri" w:hAnsi="Calibri"/>
                <w:b w:val="0"/>
                <w:color w:val="162233"/>
                <w:sz w:val="18"/>
              </w:rPr>
              <w:t>Drift &gt;= 1 km and &lt; 8 km</w:t>
            </w:r>
          </w:p>
        </w:tc>
        <w:tc>
          <w:tcPr>
            <w:tcW w:type="dxa" w:w="4300"/>
            <w:vAlign w:val="center"/>
            <w:tcMar>
              <w:top w:w="80" w:type="dxa"/>
              <w:start w:w="120" w:type="dxa"/>
              <w:bottom w:w="80" w:type="dxa"/>
              <w:end w:w="120" w:type="dxa"/>
            </w:tcMar>
          </w:tcPr>
          <w:p>
            <w:pPr>
              <w:spacing w:before="0" w:after="40" w:line="276" w:lineRule="auto"/>
            </w:pPr>
            <w:r>
              <w:rPr>
                <w:rFonts w:ascii="Calibri" w:hAnsi="Calibri"/>
                <w:b w:val="0"/>
                <w:color w:val="162233"/>
                <w:sz w:val="18"/>
              </w:rPr>
              <w:t>Same merchant, different store</w:t>
            </w:r>
          </w:p>
        </w:tc>
      </w:tr>
      <w:tr>
        <w:tc>
          <w:tcPr>
            <w:tcW w:type="dxa" w:w="220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 movement</w:t>
            </w:r>
          </w:p>
        </w:tc>
        <w:tc>
          <w:tcPr>
            <w:tcW w:type="dxa" w:w="2860"/>
            <w:vAlign w:val="center"/>
            <w:tcMar>
              <w:top w:w="80" w:type="dxa"/>
              <w:start w:w="120" w:type="dxa"/>
              <w:bottom w:w="80" w:type="dxa"/>
              <w:end w:w="120" w:type="dxa"/>
            </w:tcMar>
          </w:tcPr>
          <w:p>
            <w:pPr>
              <w:spacing w:before="0" w:after="40" w:line="276" w:lineRule="auto"/>
            </w:pPr>
            <w:r>
              <w:rPr>
                <w:rFonts w:ascii="Calibri" w:hAnsi="Calibri"/>
                <w:b w:val="0"/>
                <w:color w:val="162233"/>
                <w:sz w:val="18"/>
              </w:rPr>
              <w:t>Drift &gt;= 8 km</w:t>
            </w:r>
          </w:p>
        </w:tc>
        <w:tc>
          <w:tcPr>
            <w:tcW w:type="dxa" w:w="4300"/>
            <w:vAlign w:val="center"/>
            <w:tcMar>
              <w:top w:w="80" w:type="dxa"/>
              <w:start w:w="120" w:type="dxa"/>
              <w:bottom w:w="80" w:type="dxa"/>
              <w:end w:w="120" w:type="dxa"/>
            </w:tcMar>
          </w:tcPr>
          <w:p>
            <w:pPr>
              <w:spacing w:before="0" w:after="40" w:line="276" w:lineRule="auto"/>
            </w:pPr>
            <w:r>
              <w:rPr>
                <w:rFonts w:ascii="Calibri" w:hAnsi="Calibri"/>
                <w:b w:val="0"/>
                <w:color w:val="162233"/>
                <w:sz w:val="18"/>
              </w:rPr>
              <w:t>Different merchant location</w:t>
            </w:r>
          </w:p>
        </w:tc>
      </w:tr>
    </w:tbl>
    <w:p>
      <w:pPr>
        <w:pStyle w:val="Heading1"/>
      </w:pPr>
      <w:r>
        <w:t>8. Drilldowns and Navigation</w:t>
      </w:r>
    </w:p>
    <w:p>
      <w:pPr/>
      <w:r>
        <w:t>The app is designed so headline metrics are clickable and can be inspected in table form. This matters because the interviewer can verify the numbers behind the dashboard rather than only seeing summary cards.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Menu / area</w:t>
            </w:r>
          </w:p>
        </w:tc>
        <w:tc>
          <w:tcPr>
            <w:tcW w:type="dxa" w:w="706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What to inspect</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Live correction</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Current simulation, score breakdown, candidate shops, map, registered vs inferred location.</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90-day transactions</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Tagged recent transactions, correction kilometers, confidence, inferred shop, and red inaccurate-device flags.</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 movement</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Devices grouped by same store, same merchant different store, or different merchant location.</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Category charts</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Bar and pie views by merchant category, plus review workload by status.</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Devices data</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Device-level table with branch, registered area, actual area, drift, risk, and volume.</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Customers data</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Customer-level table with segment, frequent areas, loyalty brands, and transaction counts.</w:t>
            </w:r>
          </w:p>
        </w:tc>
      </w:tr>
      <w:tr>
        <w:tc>
          <w:tcPr>
            <w:tcW w:type="dxa" w:w="2300"/>
            <w:vAlign w:val="center"/>
            <w:tcMar>
              <w:top w:w="80" w:type="dxa"/>
              <w:start w:w="120" w:type="dxa"/>
              <w:bottom w:w="80" w:type="dxa"/>
              <w:end w:w="120" w:type="dxa"/>
            </w:tcMar>
          </w:tcPr>
          <w:p>
            <w:pPr>
              <w:spacing w:before="0" w:after="40" w:line="276" w:lineRule="auto"/>
            </w:pPr>
            <w:r>
              <w:rPr>
                <w:rFonts w:ascii="Calibri" w:hAnsi="Calibri"/>
                <w:b w:val="0"/>
                <w:color w:val="162233"/>
                <w:sz w:val="18"/>
              </w:rPr>
              <w:t>Simulation modal</w:t>
            </w:r>
          </w:p>
        </w:tc>
        <w:tc>
          <w:tcPr>
            <w:tcW w:type="dxa" w:w="7060"/>
            <w:vAlign w:val="center"/>
            <w:tcMar>
              <w:top w:w="80" w:type="dxa"/>
              <w:start w:w="120" w:type="dxa"/>
              <w:bottom w:w="80" w:type="dxa"/>
              <w:end w:w="120" w:type="dxa"/>
            </w:tcMar>
          </w:tcPr>
          <w:p>
            <w:pPr>
              <w:spacing w:before="0" w:after="40" w:line="276" w:lineRule="auto"/>
            </w:pPr>
            <w:r>
              <w:rPr>
                <w:rFonts w:ascii="Calibri" w:hAnsi="Calibri"/>
                <w:b w:val="0"/>
                <w:color w:val="162233"/>
                <w:sz w:val="18"/>
              </w:rPr>
              <w:t>Editable key-value scenario inputs including device ID dropdown, registered lat/long, customer, brand, amount, and hour.</w:t>
            </w:r>
          </w:p>
        </w:tc>
      </w:tr>
    </w:tbl>
    <w:p>
      <w:pPr>
        <w:pStyle w:val="Heading1"/>
      </w:pPr>
      <w:r>
        <w:t>9. Where to Find the Logic in Code</w:t>
      </w:r>
    </w:p>
    <w:tbl>
      <w:tblPr>
        <w:tblStyle w:val="TableGrid"/>
        <w:tblW w:type="dxa" w:w="9360"/>
        <w:tblLayout w:type="fixed"/>
        <w:tblLook w:firstColumn="1" w:firstRow="1" w:lastColumn="0" w:lastRow="0" w:noHBand="0" w:noVBand="1" w:val="04A0"/>
        <w:jc w:val="left"/>
        <w:tblInd w:w="120" w:type="dxa"/>
      </w:tblPr>
      <w:tblGrid>
        <w:gridCol w:w="2900"/>
        <w:gridCol w:w="6460"/>
      </w:tblGrid>
      <w:tr>
        <w:trPr>
          <w:tblHeader w:val="true"/>
        </w:trPr>
        <w:tc>
          <w:tcPr>
            <w:tcW w:type="dxa" w:w="290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Code area</w:t>
            </w:r>
          </w:p>
        </w:tc>
        <w:tc>
          <w:tcPr>
            <w:tcW w:type="dxa" w:w="6460"/>
            <w:vAlign w:val="center"/>
            <w:tcMar>
              <w:top w:w="80" w:type="dxa"/>
              <w:start w:w="120" w:type="dxa"/>
              <w:bottom w:w="80" w:type="dxa"/>
              <w:end w:w="120" w:type="dxa"/>
            </w:tcMar>
            <w:shd w:fill="E8EEF5"/>
          </w:tcPr>
          <w:p>
            <w:pPr>
              <w:spacing w:before="0" w:after="40" w:line="276" w:lineRule="auto"/>
            </w:pPr>
            <w:r>
              <w:rPr>
                <w:rFonts w:ascii="Calibri" w:hAnsi="Calibri"/>
                <w:b/>
                <w:color w:val="1F4D78"/>
                <w:sz w:val="18"/>
              </w:rPr>
              <w:t>What it contains</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scoreWeights</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The explicit weights used in the scoring formula.</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areas, brandPool</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The synthetic Dubai area coordinates and merchant brand/category/ticket baselines.</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jitter, km, clamp</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Coordinate simulation, Haversine distance, and value normalization helpers.</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buildDataset</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Synthetic merchant/device/customer generation.</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buildCustomerHistory</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90-day customer transaction history and summary features.</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scoreCandidates</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Core inference algorithm and confidence score calculation.</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buildRecentTransactions</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Recent transaction table, status tagging, and correction-distance logic.</w:t>
            </w:r>
          </w:p>
        </w:tc>
      </w:tr>
      <w:tr>
        <w:tc>
          <w:tcPr>
            <w:tcW w:type="dxa" w:w="2900"/>
            <w:vAlign w:val="center"/>
            <w:tcMar>
              <w:top w:w="80" w:type="dxa"/>
              <w:start w:w="120" w:type="dxa"/>
              <w:bottom w:w="80" w:type="dxa"/>
              <w:end w:w="120" w:type="dxa"/>
            </w:tcMar>
          </w:tcPr>
          <w:p>
            <w:pPr>
              <w:spacing w:before="0" w:after="40" w:line="276" w:lineRule="auto"/>
            </w:pPr>
            <w:r>
              <w:rPr>
                <w:rFonts w:ascii="Calibri" w:hAnsi="Calibri"/>
                <w:b w:val="0"/>
                <w:color w:val="162233"/>
                <w:sz w:val="18"/>
              </w:rPr>
              <w:t>app/page.tsx: mapPosition</w:t>
            </w:r>
          </w:p>
        </w:tc>
        <w:tc>
          <w:tcPr>
            <w:tcW w:type="dxa" w:w="6460"/>
            <w:vAlign w:val="center"/>
            <w:tcMar>
              <w:top w:w="80" w:type="dxa"/>
              <w:start w:w="120" w:type="dxa"/>
              <w:bottom w:w="80" w:type="dxa"/>
              <w:end w:w="120" w:type="dxa"/>
            </w:tcMar>
          </w:tcPr>
          <w:p>
            <w:pPr>
              <w:spacing w:before="0" w:after="40" w:line="276" w:lineRule="auto"/>
            </w:pPr>
            <w:r>
              <w:rPr>
                <w:rFonts w:ascii="Calibri" w:hAnsi="Calibri"/>
                <w:b w:val="0"/>
                <w:color w:val="162233"/>
                <w:sz w:val="18"/>
              </w:rPr>
              <w:t>Lat/long to visual map coordinate projection.</w:t>
            </w:r>
          </w:p>
        </w:tc>
      </w:tr>
    </w:tbl>
    <w:p>
      <w:pPr>
        <w:pStyle w:val="Heading1"/>
      </w:pPr>
      <w:r>
        <w:t>10. Key Assumptions and Limitations</w:t>
      </w:r>
    </w:p>
    <w:p>
      <w:pPr>
        <w:pStyle w:val="ListBullet"/>
        <w:spacing w:after="80" w:line="300" w:lineRule="auto"/>
      </w:pPr>
      <w:r>
        <w:t>The demo data is synthetic and seeded. It is intentionally realistic enough for product thinking, but it is not a production model or real customer data.</w:t>
      </w:r>
    </w:p>
    <w:p>
      <w:pPr>
        <w:pStyle w:val="ListBullet"/>
        <w:spacing w:after="80" w:line="300" w:lineRule="auto"/>
      </w:pPr>
      <w:r>
        <w:t>The scoring approach is interpretable and rule-based. In production, these same signals could feed a model, but the demo keeps the math transparent for review.</w:t>
      </w:r>
    </w:p>
    <w:p>
      <w:pPr>
        <w:pStyle w:val="ListBullet"/>
        <w:spacing w:after="80" w:line="300" w:lineRule="auto"/>
      </w:pPr>
      <w:r>
        <w:t>Exact geolocation depends on the quality of registered terminal records, merchant address geocoding, shop master data, and allowed telemetry sources.</w:t>
      </w:r>
    </w:p>
    <w:p>
      <w:pPr>
        <w:pStyle w:val="ListBullet"/>
        <w:spacing w:after="80" w:line="300" w:lineRule="auto"/>
      </w:pPr>
      <w:r>
        <w:t>Thresholds such as 1 km and 8 km are illustrative. A real deployment should calibrate them by city density, merchant category, fraud/compliance risk, and operational review capacity.</w:t>
      </w:r>
    </w:p>
    <w:p>
      <w:pPr>
        <w:pStyle w:val="ListBullet"/>
        <w:spacing w:after="80" w:line="300" w:lineRule="auto"/>
      </w:pPr>
      <w:r>
        <w:t>Customer history is used as a contextual signal, not as the only determinant. The app combines history with device, merchant, transaction amount, time, and distance evidence.</w:t>
      </w:r>
    </w:p>
    <w:p>
      <w:pPr>
        <w:sectPr>
          <w:headerReference w:type="default" r:id="rId9"/>
          <w:footerReference w:type="default" r:id="rId10"/>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071"/>
        <w:sz w:val="16"/>
      </w:rPr>
      <w:t>Prepared as a technical explanation for the Payment International take-home exercise.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071"/>
        <w:sz w:val="17"/>
      </w:rPr>
      <w:t>Payment International Geolocation Intelligence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International Geolocation Intelligence Logic</dc:title>
  <dc:subject>Calculation logic and core concepts</dc:subject>
  <dc:creator>Deepak Sundararaj</dc:creator>
  <cp:keywords/>
  <dc:description>generated by python-docx</dc:description>
  <cp:lastModifiedBy/>
  <cp:revision>1</cp:revision>
  <dcterms:created xsi:type="dcterms:W3CDTF">2013-12-23T23:15:00Z</dcterms:created>
  <dcterms:modified xsi:type="dcterms:W3CDTF">2013-12-23T23:15:00Z</dcterms:modified>
  <cp:category/>
</cp:coreProperties>
</file>