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&lt;title&gt;AI Buyer’s Guide — GOV Edition | Encore Services&lt;/title&gt;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Encore Base Styles (Reusable Across Pages)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/* --- Design tokens 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--navy:#0A1F44;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--red:#B22234;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--sky:#0f3d91;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--amber:#FFB000;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--ink:#101828;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--radius-card:16px;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--radius-btn:12px;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--shadow-card:0 18px 40px rgba(0,0,0,0.55);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--shadow-btn:0 8px 20px rgba(255,176,0,0.28);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--page-max-width:1140px;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--page-gutter:20px;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--section-padding-y:78px;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/* --- Base reset / typography ---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html,body{ margin:0; padding:0;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body{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font-family:Inter,system-ui,-apple-system,Segoe UI,Roboto,Helvetica,Arial,sans-serif;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background:linear-gradient(180deg, rgba(10,31,68,0.98), rgba(5,12,30,1));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*,*::before,*::after{ box-sizing:border-box;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a{ color:#e7eefc; text-decoration:none;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a:hover{ text-decoration:underline;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a:focus-visible,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button:focus-visible{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outline:2px solid #ffd168;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outline-offset:2px;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/* --- Layout primitives ---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.container{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max-width:var(--page-max-width);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padding:0 var(--page-gutter);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.section{ padding:var(--section-padding-y) 0;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/* --- Typographic helpers ---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.eyebrow{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.h1{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line-height:1.1;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font-size:clamp(32px,4.4vw,56px);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background:linear-gradient(92deg,#ffffff,#e9f1ff 35%,#ffd168 70%,#ffffff);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-webkit-background-clip:text;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background-clip:text;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color:transparent;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.h2{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font-family:ui-serif, Georgia, "Times New Roman", serif;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font-size:clamp(26px,3.2vw,40px);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.muted{ color:#d3ddff;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/* --- Buttons ---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.btn{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gap:10px;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border-radius:var(--radius-btn);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font-size:15px;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line-height:1.2;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.btn-primary{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background:linear-gradient(90deg,var(--amber),#ffd168);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box-shadow:var(--shadow-btn);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.btn-ghost{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border:1px solid rgba(255,255,255,.14);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color:#e7eefc;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/* --- Nav (desktop + mobile) --- */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.nav{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position:sticky;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top:0;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z-index:40;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background:linear-gradient(180deg,rgba(10,31,68,.9),rgba(10,31,68,.65));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border-bottom:1px solid rgba(255,255,255,.08);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.nav__inner{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gap:20px;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padding:14px 20px;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.brand{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display:inline-flex;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.brand__logo{ height:80px; width:auto; display:block;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/* tagline to the right of the logo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.brand__tagline{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letter-spacing:.12em;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color:#FFE29A;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opacity:0.95;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@media (max-width: 600px){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.brand__tagline{ font-size:10px; letter-spacing:.08em;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/* desktop nav links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.nav__links{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/* mobile toggle */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.nav__toggle{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display:none;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margin-left:auto;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background:transparent;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padding:8px;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.nav__burger,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.nav__burger::before,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.nav__burger::after{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width:24px;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height:2px;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background:#ffffff;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content:"";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transition:transform .25s ease, opacity .2s ease;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border-radius:1px;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.nav__burger::before{margin-top:-7px;}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.nav__burger::after{margin-top:5px;}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.sr-only{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width:1px;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margin:-1px;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overflow:hidden;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clip:rect(0,0,0,0);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white-space:nowrap;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/* mobile layout rules */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.nav__toggle{display:inline-flex;}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.nav__links{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position:absolute;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left:0;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right:0;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top:100%;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display:none;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flex-direction:column;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gap:8px;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background:var(--navy);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padding:12px 20px;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border-bottom:1px solid rgba(255,255,255,.14);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.nav.open .nav__links{display:flex;}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.nav.open .nav__burger{ transform:rotate(45deg);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.nav.open .nav__burger::before{ transform:translateY(7px) rotate(90deg);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.nav.open .nav__burger::after{ opacity:0;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/* --- Hero --- */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.hero{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min-height:48vh;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place-items:center;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border-bottom:1px solid rgba(255,255,255,.06);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padding:10px 0 200px;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.hero{ min-height:56vh; padding:10px 0 20px;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.hero__bg{ position:absolute; inset:0; z-index:0; overflow:hidden;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.hero__bg video,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.hero__video{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left:50%;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top:50%;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width:120vw;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height:120vh;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object-fit:cover;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transform:translate(-50%,-50%) scale(1.18);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pointer-events:none;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filter:brightness(.9) saturate(1.05);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.hero__content{ position:relative; z-index:1; width:100%;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.hero__panel{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max-width:820px;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margin:0 auto;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border-radius:18px;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border:1px solid rgba(255,255,255,.24);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backdrop-filter:blur(6px);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background:linear-gradient(135deg, rgba(10,31,68,.78), rgba(15,61,145,.7));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box-shadow:0 16px 40px rgba(0,0,0,.45);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.hero__btns{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/* --- Cards --- */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.card{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border-radius:var(--radius-card);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padding:20px 22px;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background:linear-gradient(135deg, rgba(10,31,68,0.96), rgba(178,34,52,0.55), rgba(10,31,68,0.98));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border:1px solid var(--amber);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box-shadow:0 0 0 1px rgba(255,176,0,0.22), var(--shadow-card);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/* --- Footer ---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.footer{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padding:48px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border-top:1px solid rgba(255,255,255,.08);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background:linear-gradient(180deg,rgba(10,31,68,.7),rgba(10,31,68,.85));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.footer__grid{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gap:24px;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grid-template-columns:1.4fr .8fr;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@media (max-width:960px){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.footer__grid{grid-template-columns:1fr;}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/* --- Reduced motion ---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@media (prefers-reduced-motion: reduce){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.hero__bg{ background:radial-gradient(circle at top left, rgba(255,255,255,.08), transparent 55%);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.hero__bg video{ display:none;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/* =======================================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BUYER'S GUIDE PAGE-SPECIFIC STYLES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======================================= */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.lead{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font-size:clamp(17px,2.1vw,20px);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color:#f3f4ff;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margin-top:10px;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.page-intro{ max-width:900px;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.page-intro p{ font-size:15px; line-height:1.85; color:#e4e9ff;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.highlight{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border-left:3px solid var(--amber);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padding-left:16px;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margin-top:14px;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color:#f7f1d0;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.split{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grid-template-columns:minmax(0,1.35fr) minmax(0,1fr);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gap:28px;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align-items:flex-start;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@media (max-width:960px){ .split{ grid-template-columns:1fr; }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.copy p{ margin:0 0 12px; font-size:15px; line-height:1.85; color:#e4e9ff;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.label{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font-size:11px;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letter-spacing:.16em;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margin-bottom:4px;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.divider{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height:1px;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background:linear-gradient(90deg,rgba(255,255,255,.04),rgba(255,255,255,.4),rgba(255,255,255,.04));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margin:32px 0 12px;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.value-grid{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grid-template-columns:repeat(3,minmax(0,1fr));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gap:16px;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margin-top:18px;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@media (max-width:960px){ .value-grid{ grid-template-columns:repeat(2,1fr); }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@media (max-width:640px){ .value-grid{ grid-template-columns:1fr; }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.value-item{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background:rgba(10,31,68,.9);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border-radius:14px;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padding:16px 18px;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box-shadow:0 14px 32px rgba(0,0,0,.55);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color:#dde6ff;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.value-item strong{ color:#ffe29a;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.samples{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grid-template-columns:repeat(2,minmax(0,1fr));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gap:16px;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margin-top:16px;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@media (max-width:800px){ .samples{ grid-template-columns:1fr; }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.sample-q{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border:1px solid rgba(255,255,255,.16);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border-radius:14px;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padding:16px 16px;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box-shadow:0 14px 32px rgba(0,0,0,.55);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.sample-q .k{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font-size:11px;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letter-spacing:.16em;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text-transform:uppercase;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color:#9fb7ff;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margin-bottom:6px;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.sample-q p{ margin:0; color:#eaf0ff; line-height:1.7; font-size:14px;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.cta-inline{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margin-top:14px;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.fineprint{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color:#d3ddff;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line-height:1.75;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/* ========== CONTACT SECTION / NINJA FORMS STYLE (kept) ========== */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.contact-section .contact-grid{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gap:32px;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grid-template-columns:1fr;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align-items:start;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.contact-section .contact-card{ max-width:none; justify-self:stretch;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.contact-section .nf-form-cont{ color:#e5edff; font-family:inherit;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.contact-section .nf-field-label label,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.contact-section .nf-field .nf-before-field .nf-field-label label{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color:#ffffff;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.contact-section .nf-form-cont input[type="text"],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.contact-section .nf-form-cont input[type="email"],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.contact-section .nf-form-cont input[type="tel"],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.contact-section .nf-form-cont input[type="url"],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.contact-section .nf-form-cont input[type="number"],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.contact-section .nf-form-cont input[type="date"],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.contact-section .nf-form-cont select,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.contact-section .nf-form-cont textarea{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background:rgba(255,255,255,.06);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border:1px solid rgba(255,255,255,.18);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color:#e5edff;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transition: box-shadow .15s ease, border-color .15s ease, background .15s ease;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.contact-section .nf-form-cont ::placeholder{ color:#cdd8ff; opacity:.85;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.contact-section .nf-form-cont input:focus,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.contact-section .nf-form-cont select:focus,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.contact-section .nf-form-cont textarea:focus{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outline:none;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border-color:#9fb7ff;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box-shadow:0 0 0 3px rgba(159,183,255,.35);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background:rgba(255,255,255,.09);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.contact-section .nf-form-cont input[type="checkbox"],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.contact-section .nf-form-cont input[type="radio"]{ accent-color:var(--amber);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.contact-section .nf-form-cont .nf-field input[type="submit"],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.contact-section .nf-form-cont .nf-field input[type="button"],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.contact-section .nf-form-cont .submit-wrap .ninja-forms-field{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background:linear-gradient(90deg, var(--amber), #FFD168);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color:#1a1200;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padding:12px 18px;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box-shadow:0 8px 20px rgba(255,176,0,.28);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.contact-section .nf-form-cont input[type="submit"]:hover{ filter:brightness(1.06);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.contact-section .nf-error input,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.contact-section .nf-error select,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.contact-section .nf-error textarea{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border-color:#ff6b6b !important;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box-shadow:0 0 0 3px rgba(255,107,107,.25) !important;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.contact-section .nf-error-msg,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.contact-section .ninja-forms-req-symbol{ color:#ffd1d1;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.contact-section .nf-response-msg{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background:rgba(34,197,94,.12);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border:1px solid rgba(34,197,94,.35);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color:#daf5e4;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padding:12px 14px;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&lt;!-- ========== GLOBAL HEADER / NAV (unchanged) ========== --&gt;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&lt;header class="nav" role="banner" aria-label="Primary Navigation"&gt;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&lt;div class="container nav__inner"&gt;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&lt;a class="brand" href="/"&gt;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&lt;span class="brand__flag" aria-hidden="true"&gt;&lt;/span&gt;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&lt;img class="brand__logo" src="https://encoresvcsllc.com/wp-content/uploads/2025/11/tempencorelogo.png" alt="Encore Services logo" loading="eager" height="36"&gt;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&lt;span class="brand__tagline"&gt;Performance Determines Success&lt;/span&gt;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&lt;button class="nav__toggle" aria-label="Open menu" aria-expanded="false" aria-controls="site-menu"&gt;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&lt;span class="nav__burger" aria-hidden="true"&gt;&lt;/span&gt;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&lt;span class="sr-only"&gt;Toggle menu&lt;/span&gt;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&lt;nav id="site-menu" class="nav__links" role="navigation" aria-label="Site"&gt;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&lt;a href="/"&gt;Home&lt;/a&gt;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&lt;a href="/about"&gt;About&lt;/a&gt;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&lt;a href="/capabilities"&gt;Capabilities&lt;/a&gt;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&lt;a href="/ai-guide"&gt;AI Guide&lt;/a&gt;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&lt;a href="/programs"&gt;Programs&lt;/a&gt;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&lt;a class="btn btn-primary" href="#contact"&gt;Contact&lt;/a&gt;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&lt;!-- ========== HERO (updated video + CTAs) ========== --&gt;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&lt;section class="hero"&gt;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&lt;div class="hero__bg"&gt;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&lt;video class="hero__video" autoplay muted loop playsinline&gt;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&lt;source src="https://encoresvcsllc.com/wp-content/uploads/2025/12/digital-technology-background-2025-12-09-04-56-58-utc.mp4" type="video/mp4"&gt;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&lt;/video&gt;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&lt;div class="hero__content"&gt;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&lt;div class="hero__panel container"&gt;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&lt;div class="eyebrow"&gt;AI Buyer’s Guide — GOV Edition&lt;/div&gt;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&lt;h1 class="h1" style="margin-top:8px"&gt;A plain-English reality check for high-stakes AI.&lt;/h1&gt;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&lt;p class="lead"&gt;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Most AI pages try to sell you something. This one is here to help you &lt;strong&gt;not get sold&lt;/strong&gt; —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because when AI is used in government, the stakes aren’t “cool features.”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The stakes are &lt;strong&gt;people’s lives, rights, benefits, safety, investigations, and public trust.&lt;/strong&gt;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&lt;p class="muted" style="margin-top:10px;font-size:15px;max-width:72ch;"&gt;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Download the meeting-ready PDF you can print and take into vendor discussions.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&lt;div class="hero__btns"&gt;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&lt;a class="btn btn-primary" href="https://encoresvcsllc.com/wp-content/uploads/2025/12/Encore_AI_Buyers_Guide_GOV_Edition_EncoreServices_Clean_Tight.pdf" target="_blank" rel="noopener"&gt;Download the PDF&lt;/a&gt;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&lt;a class="btn btn-ghost" href="#why"&gt;Why We Published This&lt;/a&gt;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&lt;!-- ========== WHY WE PUBLISHED THIS ========== --&gt;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&lt;section id="why" class="section"&gt;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&lt;div class="container page-intro"&gt;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&lt;h2 class="h2"&gt;Why Encore would publish this (even though it makes our job harder)&lt;/h2&gt;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Let’s be honest: Encore isn’t going to win every contract — and we don’t want a world where the “winner” is whoever can market the hardest,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hide the most, or rely on buyer confusion. That’s how under-tested systems get deployed… and how the public pays for it later.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&lt;div class="highlight"&gt;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&lt;strong&gt;Our end game:&lt;/strong&gt; raise the standard of AI in government.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When every vendor has to show proof, explain risk, and build real safeguards, missions win — regardless of who holds the contract.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&lt;!-- ========== OUR VIEW / CORE VALUE ========== --&gt;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&lt;div class="container split"&gt;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&lt;div class="copy"&gt;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&lt;div class="label"&gt;Our View&lt;/div&gt;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&lt;h2 class="h2"&gt;Competition is healthy. Hype is not.&lt;/h2&gt;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Competition keeps companies sharp. It forces everyone to build better systems next year than they built this year.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But “AI” has become a marketing word — and in government, that isn’t just annoying. It’s dangerous.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If a vendor needs your confusion to close a deal, that vendor is a risk.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If they can’t explain the system simply, they shouldn’t deploy it in missions that carry real consequences.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Educating buyers upfront shrinks our playing field and holds us to a higher bar, too. We’re fine with that.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We don’t avoid hard work — we chase it. Tough questions, lessons learned, and accountability are how real systems get built.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&lt;div class="divider"&gt;&lt;/div&gt;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&lt;p class="fineprint"&gt;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We don’t need to be the biggest. We do want to be known as one of the most honest, transparent, and hard-working companies in this space —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not because we say “trust us,” but because we’ve earned it.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&lt;div class="cta-inline"&gt;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&lt;a class="btn btn-primary" href="https://encoresvcsllc.com/wp-content/uploads/2025/12/Encore_AI_Buyers_Guide_GOV_Edition_EncoreServices_Clean_Tight.pdf" target="_blank" rel="noopener"&gt;Download the PDF&lt;/a&gt;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&lt;a class="btn btn-ghost" href="#sample"&gt;See a sample&lt;/a&gt;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&lt;aside class="card"&gt;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&lt;div class="label"&gt;Why this matters&lt;/div&gt;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&lt;p class="muted" style="font-size:14px;line-height:1.7;"&gt;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When AI is treated like truth, errors scale fast and accountability gets blurry.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The goal of this guide is simple: help teams demand proof, require controls, and avoid buying “AI-shaped risk.”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&lt;ul class="muted" style="font-size:13px;line-height:1.7;list-style:disc;padding-left:18px;margin:10px 0 0;"&gt;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&lt;li&gt;Separate demos from reality&lt;/li&gt;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&lt;li&gt;Get evidence, not buzzwords&lt;/li&gt;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&lt;li&gt;Require auditability and shutoff controls&lt;/li&gt;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&lt;li&gt;Deploy safely before scaling&lt;/li&gt;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&lt;/aside&gt;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&lt;!-- ========== WHAT YOU GET IN THE PDF ========== --&gt;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&lt;section class="section"&gt;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&lt;div class="container" style="max-width:980px;"&gt;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&lt;div class="label"&gt;Inside the PDF&lt;/div&gt;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&lt;h2 class="h2"&gt;A field guide you can bring into a meeting&lt;/h2&gt;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&lt;p class="muted" style="max-width:78ch;"&gt;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This is not a textbook. It’s a meeting-ready guide written for smart, non-technical teams.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It helps you ask better questions, spot risk quickly, and require proof before you spend.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&lt;div class="value-grid"&gt;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&lt;div class="value-item"&gt;&lt;strong&gt;The 3 types of “AI”&lt;/strong&gt;&lt;br/&gt;So vendors can’t hide behind one vague word.&lt;/div&gt;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&lt;div class="value-item"&gt;&lt;strong&gt;Deliverables to require&lt;/strong&gt;&lt;br/&gt;Data flow, testing results, controls, and security basics.&lt;/div&gt;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&lt;div class="value-item"&gt;&lt;strong&gt;Stoplight use-case chart&lt;/strong&gt;&lt;br/&gt;Green / Yellow / Red guidance for safer decisions.&lt;/div&gt;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&lt;div class="value-item"&gt;&lt;strong&gt;“Learning over time” reality check&lt;/strong&gt;&lt;br/&gt;What must be true before self-updating AI is acceptable.&lt;/div&gt;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class="value-item"&gt;&lt;strong&gt;Pilot plan that doesn’t waste money&lt;/strong&gt;&lt;br/&gt;Test → shadow mode → limited pilot → scale only with proof.&lt;/div&gt;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&lt;div class="value-item"&gt;&lt;strong&gt;Pushback scripts&lt;/strong&gt;&lt;br/&gt;Simple lines you can use when vendors dodge or oversell.&lt;/div&gt;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&lt;div class="cta-inline" style="margin-top:18px;"&gt;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&lt;a class="btn btn-primary" href="https://encoresvcsllc.com/wp-content/uploads/2025/12/Encore_AI_Buyers_Guide_GOV_Edition_EncoreServices_Clean_Tight.pdf" target="_blank" rel="noopener"&gt;Download the PDF&lt;/a&gt;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&lt;a class="btn btn-ghost" href="#contact"&gt;Contact Encore&lt;/a&gt;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&lt;!-- ========== SMALL SAMPLE (NOT FULL TOP 5) ========== --&gt;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&lt;section id="sample" class="section"&gt;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&lt;div class="container" style="max-width:980px;"&gt;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&lt;div class="label"&gt;Two examples (teaser)&lt;/div&gt;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&lt;h2 class="h2"&gt;The PDF includes a full set of questions — here are two samples&lt;/h2&gt;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&lt;p class="muted" style="max-width:78ch;"&gt;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We don’t publish the full list here because the PDF is designed to be printed and used in meetings.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But this is the flavor: plain language that forces clarity.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&lt;div class="samples"&gt;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&lt;div class="sample-q"&gt;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&lt;span class="k"&gt;Sample question&lt;/span&gt;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&lt;p&gt;&lt;strong&gt;“Can you show us the one-page diagram of where our data goes — what you store, who can access it, and how deletion works (including logs)?”&lt;/strong&gt;&lt;/p&gt;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&lt;div class="sample-q"&gt;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&lt;span class="k"&gt;Sample question&lt;/span&gt;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&lt;p&gt;&lt;strong&gt;“When the system is wrong, what happens — who catches it, what gets logged, and how do we shut it off?”&lt;/strong&gt;&lt;/p&gt;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&lt;div class="highlight" style="margin-top:16px;"&gt;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If a vendor can’t answer questions like these clearly, you’re not looking at a product — you’re looking at a risk.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&lt;!-- ========== GLOBAL CONTACT SECTION (CTA) (kept structure) ========== --&gt;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&lt;section id="contact" class="section section--navy contact-section"&gt;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&lt;div class="contact-grid"&gt;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&lt;div class="eyebrow"&gt;Contact&lt;/div&gt;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&lt;h2 class="h2"&gt;Talk to a Team That Welcomes Hard Questions&lt;/h2&gt;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&lt;p class="muted" style="max-width:65ch"&gt;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Encore Services, LLC · 9500 Medical Center Drive, Suite 300, Largo, MD 20774 ·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202-460-8668 ·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&lt;a href="mailto:jwoodson@encoresvcsllc.com" style="color:#ffe29a;text-decoration:underline"&gt;jwoodson@encoresvcsllc.com&lt;/a&gt;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&lt;p class="muted" style="max-width:65ch;font-size:14px;"&gt;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Whether you work with us or not, we’re happy to help your team think more clearly about what AI should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and shouldn’t be doing in your mission.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&lt;div class="cta-inline"&gt;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&lt;a class="btn btn-primary" href="https://encoresvcsllc.com/wp-content/uploads/2025/12/Encore_AI_Buyers_Guide_GOV_Edition_EncoreServices_Clean_Tight.pdf" target="_blank" rel="noopener"&gt;Download the PDF&lt;/a&gt;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&lt;a class="btn btn-ghost" href="#why"&gt;Back to top&lt;/a&gt;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&lt;div class="card contact-card"&gt;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[ninja_form id=1]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&lt;!-- ========== GLOBAL FOOTER (unchanged) ========== --&gt;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&lt;footer class="footer" role="contentinfo"&gt;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&lt;div class="container footer__grid"&gt;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&lt;div class="brand"&gt;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&lt;img class="brand__logo" src="https://encoresvcsllc.com/wp-content/uploads/2025/11/tempencorelogo.png" alt="Encore Services logo" height="32" loading="lazy"&gt;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&lt;p class="muted" style="margin-top:8px"&gt;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Over a decade delivering innovative solutions with integrity, professionalism,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and a customer-first culture.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&lt;div class="muted"&gt;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© 2025 Encore Services, LLC · SDVOSB · GSA Schedule 70 #47QTCA18D00BX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/* Accessible mobile nav toggle */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(function(){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var nav    = document.querySelector('.nav');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var toggle = document.querySelector('.nav__toggle');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var menu   = document.getElementById('site-menu');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if (!nav || !toggle || !menu) return;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function setOpen(open){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nav.classList.toggle('open', open);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toggle.setAttribute('aria-expanded', String(open));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toggle.addEventListener('click', function(){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var open = toggle.getAttribute('aria-expanded') === 'true';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setOpen(!open);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// Close when a link is clicked (mobile)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menu.querySelectorAll('a').forEach(function(a){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a.addEventListener('click', function(){ setOpen(false); });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// Close on Escape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document.addEventListener('keydown', function(e){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if (e.key === 'Escape'){ setOpen(false); toggle.blur();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