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rPr>
          <w:rFonts w:ascii="Arial" w:cs="Arial" w:eastAsia="Arial" w:hAnsi="Arial"/>
          <w:b/>
          <w:bCs/>
          <w:color w:val="1F3864"/>
          <w:sz w:val="32"/>
          <w:szCs w:val="32"/>
        </w:rPr>
        <w:t xml:space="preserve">ADR-007: Document Model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color="1F5C2E" w:val="solid"/>
            <w:tcMar>
              <w:top w:type="dxa" w:w="80"/>
              <w:left w:type="dxa" w:w="120"/>
              <w:bottom w:type="dxa" w:w="80"/>
              <w:right w:type="dxa" w:w="120"/>
            </w:tcMar>
          </w:tcPr>
          <w:p>
            <w:pPr>
              <w:spacing w:after="80" w:before="80"/>
              <w:jc w:val="center"/>
            </w:pPr>
            <w:r>
              <w:rPr>
                <w:rFonts w:ascii="Arial" w:cs="Arial" w:eastAsia="Arial" w:hAnsi="Arial"/>
                <w:b/>
                <w:bCs/>
                <w:color w:val="FFFFFF"/>
                <w:sz w:val="22"/>
                <w:szCs w:val="22"/>
              </w:rPr>
              <w:t xml:space="preserve">STATUS: ACCEPTED</w:t>
            </w:r>
          </w:p>
        </w:tc>
      </w:tr>
    </w:tbl>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color="EEF2FF" w:val="solid"/>
            <w:tcMar>
              <w:top w:type="dxa" w:w="80"/>
              <w:left w:type="dxa" w:w="120"/>
              <w:bottom w:type="dxa" w:w="80"/>
              <w:right w:type="dxa" w:w="120"/>
            </w:tcMar>
          </w:tcPr>
          <w:p>
            <w:pPr>
              <w:spacing w:after="60" w:before="60"/>
            </w:pPr>
            <w:r>
              <w:rPr>
                <w:rFonts w:ascii="Arial" w:cs="Arial" w:eastAsia="Arial" w:hAnsi="Arial"/>
                <w:b/>
                <w:bCs/>
                <w:sz w:val="20"/>
                <w:szCs w:val="20"/>
              </w:rPr>
              <w:t xml:space="preserve">ADR Number</w:t>
            </w:r>
          </w:p>
        </w:tc>
        <w:tc>
          <w:tcPr>
            <w:tcW w:type="dxa" w:w="6026"/>
            <w:tcMar>
              <w:top w:type="dxa" w:w="80"/>
              <w:left w:type="dxa" w:w="120"/>
              <w:bottom w:type="dxa" w:w="80"/>
              <w:right w:type="dxa" w:w="120"/>
            </w:tcMar>
          </w:tcPr>
          <w:p>
            <w:pPr>
              <w:spacing w:after="60" w:before="60"/>
            </w:pPr>
            <w:r>
              <w:rPr>
                <w:rFonts w:ascii="Arial" w:cs="Arial" w:eastAsia="Arial" w:hAnsi="Arial"/>
                <w:sz w:val="20"/>
                <w:szCs w:val="20"/>
              </w:rPr>
              <w:t xml:space="preserve">ADR-007</w:t>
            </w:r>
          </w:p>
        </w:tc>
      </w:tr>
      <w:tr>
        <w:tc>
          <w:tcPr>
            <w:tcW w:type="dxa" w:w="3000"/>
            <w:shd w:color="EEF2FF" w:val="solid"/>
            <w:tcMar>
              <w:top w:type="dxa" w:w="80"/>
              <w:left w:type="dxa" w:w="120"/>
              <w:bottom w:type="dxa" w:w="80"/>
              <w:right w:type="dxa" w:w="120"/>
            </w:tcMar>
          </w:tcPr>
          <w:p>
            <w:pPr>
              <w:spacing w:after="60" w:before="60"/>
            </w:pPr>
            <w:r>
              <w:rPr>
                <w:rFonts w:ascii="Arial" w:cs="Arial" w:eastAsia="Arial" w:hAnsi="Arial"/>
                <w:b/>
                <w:bCs/>
                <w:sz w:val="20"/>
                <w:szCs w:val="20"/>
              </w:rPr>
              <w:t xml:space="preserve">Date</w:t>
            </w:r>
          </w:p>
        </w:tc>
        <w:tc>
          <w:tcPr>
            <w:tcW w:type="dxa" w:w="6026"/>
            <w:tcMar>
              <w:top w:type="dxa" w:w="80"/>
              <w:left w:type="dxa" w:w="120"/>
              <w:bottom w:type="dxa" w:w="80"/>
              <w:right w:type="dxa" w:w="120"/>
            </w:tcMar>
          </w:tcPr>
          <w:p>
            <w:pPr>
              <w:spacing w:after="60" w:before="60"/>
            </w:pPr>
            <w:r>
              <w:rPr>
                <w:rFonts w:ascii="Arial" w:cs="Arial" w:eastAsia="Arial" w:hAnsi="Arial"/>
                <w:sz w:val="20"/>
                <w:szCs w:val="20"/>
              </w:rPr>
              <w:t xml:space="preserve">2026-03-08</w:t>
            </w:r>
          </w:p>
        </w:tc>
      </w:tr>
      <w:tr>
        <w:tc>
          <w:tcPr>
            <w:tcW w:type="dxa" w:w="3000"/>
            <w:shd w:color="EEF2FF" w:val="solid"/>
            <w:tcMar>
              <w:top w:type="dxa" w:w="80"/>
              <w:left w:type="dxa" w:w="120"/>
              <w:bottom w:type="dxa" w:w="80"/>
              <w:right w:type="dxa" w:w="120"/>
            </w:tcMar>
          </w:tcPr>
          <w:p>
            <w:pPr>
              <w:spacing w:after="60" w:before="60"/>
            </w:pPr>
            <w:r>
              <w:rPr>
                <w:rFonts w:ascii="Arial" w:cs="Arial" w:eastAsia="Arial" w:hAnsi="Arial"/>
                <w:b/>
                <w:bCs/>
                <w:sz w:val="20"/>
                <w:szCs w:val="20"/>
              </w:rPr>
              <w:t xml:space="preserve">Phase</w:t>
            </w:r>
          </w:p>
        </w:tc>
        <w:tc>
          <w:tcPr>
            <w:tcW w:type="dxa" w:w="6026"/>
            <w:tcMar>
              <w:top w:type="dxa" w:w="80"/>
              <w:left w:type="dxa" w:w="120"/>
              <w:bottom w:type="dxa" w:w="80"/>
              <w:right w:type="dxa" w:w="120"/>
            </w:tcMar>
          </w:tcPr>
          <w:p>
            <w:pPr>
              <w:spacing w:after="60" w:before="60"/>
            </w:pPr>
            <w:r>
              <w:rPr>
                <w:rFonts w:ascii="Arial" w:cs="Arial" w:eastAsia="Arial" w:hAnsi="Arial"/>
                <w:sz w:val="20"/>
                <w:szCs w:val="20"/>
              </w:rPr>
              <w:t xml:space="preserve">Phase 3</w:t>
            </w:r>
          </w:p>
        </w:tc>
      </w:tr>
      <w:tr>
        <w:tc>
          <w:tcPr>
            <w:tcW w:type="dxa" w:w="3000"/>
            <w:shd w:color="EEF2FF" w:val="solid"/>
            <w:tcMar>
              <w:top w:type="dxa" w:w="80"/>
              <w:left w:type="dxa" w:w="120"/>
              <w:bottom w:type="dxa" w:w="80"/>
              <w:right w:type="dxa" w:w="120"/>
            </w:tcMar>
          </w:tcPr>
          <w:p>
            <w:pPr>
              <w:spacing w:after="60" w:before="60"/>
            </w:pPr>
            <w:r>
              <w:rPr>
                <w:rFonts w:ascii="Arial" w:cs="Arial" w:eastAsia="Arial" w:hAnsi="Arial"/>
                <w:b/>
                <w:bCs/>
                <w:sz w:val="20"/>
                <w:szCs w:val="20"/>
              </w:rPr>
              <w:t xml:space="preserve">Supersedes</w:t>
            </w:r>
          </w:p>
        </w:tc>
        <w:tc>
          <w:tcPr>
            <w:tcW w:type="dxa" w:w="6026"/>
            <w:tcMar>
              <w:top w:type="dxa" w:w="80"/>
              <w:left w:type="dxa" w:w="120"/>
              <w:bottom w:type="dxa" w:w="80"/>
              <w:right w:type="dxa" w:w="120"/>
            </w:tcMar>
          </w:tcPr>
          <w:p>
            <w:pPr>
              <w:spacing w:after="60" w:before="60"/>
            </w:pPr>
            <w:r>
              <w:rPr>
                <w:rFonts w:ascii="Arial" w:cs="Arial" w:eastAsia="Arial" w:hAnsi="Arial"/>
                <w:sz w:val="20"/>
                <w:szCs w:val="20"/>
              </w:rPr>
              <w:t xml:space="preserve">—</w:t>
            </w:r>
          </w:p>
        </w:tc>
      </w:tr>
    </w:tbl>
    <w:p>
      <w:pPr>
        <w:pBdr>
          <w:bottom w:val="single" w:color="CCCCCC" w:sz="6"/>
        </w:pBdr>
        <w:spacing w:after="160" w:before="160"/>
      </w:pPr>
      <w:r>
        <w:rPr>
          <w:rFonts w:ascii="Arial" w:cs="Arial" w:eastAsia="Arial" w:hAnsi="Arial"/>
          <w:sz w:val="4"/>
          <w:szCs w:val="4"/>
        </w:rPr>
        <w:t xml:space="preserve"/>
      </w:r>
    </w:p>
    <w:p>
      <w:pPr>
        <w:pStyle w:val="Heading2"/>
        <w:spacing w:after="120" w:before="240"/>
      </w:pPr>
      <w:r>
        <w:rPr>
          <w:rFonts w:ascii="Arial" w:cs="Arial" w:eastAsia="Arial" w:hAnsi="Arial"/>
          <w:b/>
          <w:bCs/>
          <w:color w:val="2E5090"/>
          <w:sz w:val="26"/>
          <w:szCs w:val="26"/>
        </w:rPr>
        <w:t xml:space="preserve">1. Context</w:t>
      </w:r>
    </w:p>
    <w:p>
      <w:pPr>
        <w:spacing w:after="80" w:before="80"/>
      </w:pPr>
      <w:r>
        <w:rPr>
          <w:rFonts w:ascii="Arial" w:cs="Arial" w:eastAsia="Arial" w:hAnsi="Arial"/>
          <w:sz w:val="22"/>
          <w:szCs w:val="22"/>
        </w:rPr>
        <w:t xml:space="preserve">Phase 3 introduces the Writer engine — the first real document engine in AppThere Loki. The engine must maintain an in-memory representation of a document that:</w:t>
      </w:r>
    </w:p>
    <w:p>
      <w:pPr>
        <w:pStyle w:val="ListParagraph"/>
        <w:numPr>
          <w:ilvl w:val="0"/>
          <w:numId w:val="1"/>
        </w:numPr>
        <w:spacing w:after="40" w:before="40"/>
      </w:pPr>
      <w:r>
        <w:rPr>
          <w:rFonts w:ascii="Arial" w:cs="Arial" w:eastAsia="Arial" w:hAnsi="Arial"/>
          <w:sz w:val="22"/>
          <w:szCs w:val="22"/>
        </w:rPr>
        <w:t xml:space="preserve">ODF import (FODT/ODT) can populate</w:t>
      </w:r>
    </w:p>
    <w:p>
      <w:pPr>
        <w:pStyle w:val="ListParagraph"/>
        <w:numPr>
          <w:ilvl w:val="0"/>
          <w:numId w:val="1"/>
        </w:numPr>
        <w:spacing w:after="40" w:before="40"/>
      </w:pPr>
      <w:r>
        <w:rPr>
          <w:rFonts w:ascii="Arial" w:cs="Arial" w:eastAsia="Arial" w:hAnsi="Arial"/>
          <w:sz w:val="22"/>
          <w:szCs w:val="22"/>
        </w:rPr>
        <w:t xml:space="preserve">OOXML import (DOCX, Phase 4) can also populate without model changes</w:t>
      </w:r>
    </w:p>
    <w:p>
      <w:pPr>
        <w:pStyle w:val="ListParagraph"/>
        <w:numPr>
          <w:ilvl w:val="0"/>
          <w:numId w:val="1"/>
        </w:numPr>
        <w:spacing w:after="40" w:before="40"/>
      </w:pPr>
      <w:r>
        <w:rPr>
          <w:rFonts w:ascii="Arial" w:cs="Arial" w:eastAsia="Arial" w:hAnsi="Arial"/>
          <w:sz w:val="22"/>
          <w:szCs w:val="22"/>
        </w:rPr>
        <w:t xml:space="preserve">The layout engine (ADR-008) can read to produce PaintScene output</w:t>
      </w:r>
    </w:p>
    <w:p>
      <w:pPr>
        <w:pStyle w:val="ListParagraph"/>
        <w:numPr>
          <w:ilvl w:val="0"/>
          <w:numId w:val="1"/>
        </w:numPr>
        <w:spacing w:after="40" w:before="40"/>
      </w:pPr>
      <w:r>
        <w:rPr>
          <w:rFonts w:ascii="Arial" w:cs="Arial" w:eastAsia="Arial" w:hAnsi="Arial"/>
          <w:sz w:val="22"/>
          <w:szCs w:val="22"/>
        </w:rPr>
        <w:t xml:space="preserve">The command system (Phase 5) can mutate via ILokiCommand</w:t>
      </w:r>
    </w:p>
    <w:p>
      <w:pPr>
        <w:pStyle w:val="ListParagraph"/>
        <w:numPr>
          <w:ilvl w:val="0"/>
          <w:numId w:val="1"/>
        </w:numPr>
        <w:spacing w:after="40" w:before="40"/>
      </w:pPr>
      <w:r>
        <w:rPr>
          <w:rFonts w:ascii="Arial" w:cs="Arial" w:eastAsia="Arial" w:hAnsi="Arial"/>
          <w:sz w:val="22"/>
          <w:szCs w:val="22"/>
        </w:rPr>
        <w:t xml:space="preserve">Supports style inheritance without coupling to any file format's style system</w:t>
      </w:r>
    </w:p>
    <w:p>
      <w:pPr>
        <w:spacing w:after="80" w:before="80"/>
      </w:pPr>
      <w:r>
        <w:rPr>
          <w:rFonts w:ascii="Arial" w:cs="Arial" w:eastAsia="Arial" w:hAnsi="Arial"/>
          <w:sz w:val="22"/>
          <w:szCs w:val="22"/>
        </w:rPr>
        <w:t xml:space="preserve">The model must be format-neutral — a document opened from ODT and one opened from DOCX must be indistinguishable at the model layer.</w:t>
      </w:r>
    </w:p>
    <w:p>
      <w:pPr>
        <w:pBdr>
          <w:bottom w:val="single" w:color="CCCCCC" w:sz="6"/>
        </w:pBdr>
        <w:spacing w:after="160" w:before="160"/>
      </w:pPr>
      <w:r>
        <w:rPr>
          <w:rFonts w:ascii="Arial" w:cs="Arial" w:eastAsia="Arial" w:hAnsi="Arial"/>
          <w:sz w:val="4"/>
          <w:szCs w:val="4"/>
        </w:rPr>
        <w:t xml:space="preserve"/>
      </w:r>
    </w:p>
    <w:p>
      <w:pPr>
        <w:pStyle w:val="Heading2"/>
        <w:spacing w:after="120" w:before="240"/>
      </w:pPr>
      <w:r>
        <w:rPr>
          <w:rFonts w:ascii="Arial" w:cs="Arial" w:eastAsia="Arial" w:hAnsi="Arial"/>
          <w:b/>
          <w:bCs/>
          <w:color w:val="2E5090"/>
          <w:sz w:val="26"/>
          <w:szCs w:val="26"/>
        </w:rPr>
        <w:t xml:space="preserve">2. Decision</w:t>
      </w:r>
    </w:p>
    <w:p>
      <w:pPr>
        <w:pStyle w:val="Heading3"/>
        <w:spacing w:after="80" w:before="180"/>
      </w:pPr>
      <w:r>
        <w:rPr>
          <w:rFonts w:ascii="Arial" w:cs="Arial" w:eastAsia="Arial" w:hAnsi="Arial"/>
          <w:b/>
          <w:bCs/>
          <w:color w:val="444444"/>
          <w:sz w:val="22"/>
          <w:szCs w:val="22"/>
        </w:rPr>
        <w:t xml:space="preserve">2.1 Conceptual foundation: CSS/browser block-inline model</w:t>
      </w:r>
    </w:p>
    <w:p>
      <w:pPr>
        <w:spacing w:after="80" w:before="80"/>
      </w:pPr>
      <w:r>
        <w:rPr>
          <w:rFonts w:ascii="Arial" w:cs="Arial" w:eastAsia="Arial" w:hAnsi="Arial"/>
          <w:sz w:val="22"/>
          <w:szCs w:val="22"/>
        </w:rPr>
        <w:t xml:space="preserve">The document model is structured as a tree of block containers and inline content, directly analogous to the CSS box model. This framing is chosen because:</w:t>
      </w:r>
    </w:p>
    <w:p>
      <w:pPr>
        <w:pStyle w:val="ListParagraph"/>
        <w:numPr>
          <w:ilvl w:val="0"/>
          <w:numId w:val="1"/>
        </w:numPr>
        <w:spacing w:after="40" w:before="40"/>
      </w:pPr>
      <w:r>
        <w:rPr>
          <w:rFonts w:ascii="Arial" w:cs="Arial" w:eastAsia="Arial" w:hAnsi="Arial"/>
          <w:sz w:val="22"/>
          <w:szCs w:val="22"/>
        </w:rPr>
        <w:t xml:space="preserve">It is the most widely understood document layout model among developers</w:t>
      </w:r>
    </w:p>
    <w:p>
      <w:pPr>
        <w:pStyle w:val="ListParagraph"/>
        <w:numPr>
          <w:ilvl w:val="0"/>
          <w:numId w:val="1"/>
        </w:numPr>
        <w:spacing w:after="40" w:before="40"/>
      </w:pPr>
      <w:r>
        <w:rPr>
          <w:rFonts w:ascii="Arial" w:cs="Arial" w:eastAsia="Arial" w:hAnsi="Arial"/>
          <w:sz w:val="22"/>
          <w:szCs w:val="22"/>
        </w:rPr>
        <w:t xml:space="preserve">It maps naturally onto both ODF (text:p, text:span) and OOXML (w:p, w:r)</w:t>
      </w:r>
    </w:p>
    <w:p>
      <w:pPr>
        <w:pStyle w:val="ListParagraph"/>
        <w:numPr>
          <w:ilvl w:val="0"/>
          <w:numId w:val="1"/>
        </w:numPr>
        <w:spacing w:after="40" w:before="40"/>
      </w:pPr>
      <w:r>
        <w:rPr>
          <w:rFonts w:ascii="Arial" w:cs="Arial" w:eastAsia="Arial" w:hAnsi="Arial"/>
          <w:sz w:val="22"/>
          <w:szCs w:val="22"/>
        </w:rPr>
        <w:t xml:space="preserve">The layout engine (ADR-008) operates on blocks and inlines — the model mirrors this directly</w:t>
      </w:r>
    </w:p>
    <w:p>
      <w:pPr>
        <w:pStyle w:val="ListParagraph"/>
        <w:numPr>
          <w:ilvl w:val="0"/>
          <w:numId w:val="1"/>
        </w:numPr>
        <w:spacing w:after="40" w:before="40"/>
      </w:pPr>
      <w:r>
        <w:rPr>
          <w:rFonts w:ascii="Arial" w:cs="Arial" w:eastAsia="Arial" w:hAnsi="Arial"/>
          <w:sz w:val="22"/>
          <w:szCs w:val="22"/>
        </w:rPr>
        <w:t xml:space="preserve">CSS terminology is used throughout: block, inline, flow, containing block</w:t>
      </w:r>
    </w:p>
    <w:p>
      <w:pPr>
        <w:pStyle w:val="Heading3"/>
        <w:spacing w:after="80" w:before="180"/>
      </w:pPr>
      <w:r>
        <w:rPr>
          <w:rFonts w:ascii="Arial" w:cs="Arial" w:eastAsia="Arial" w:hAnsi="Arial"/>
          <w:b/>
          <w:bCs/>
          <w:color w:val="444444"/>
          <w:sz w:val="22"/>
          <w:szCs w:val="22"/>
        </w:rPr>
        <w:t xml:space="preserve">2.2 Type hierarchy</w:t>
      </w:r>
    </w:p>
    <w:p>
      <w:pPr>
        <w:spacing w:after="80" w:before="80"/>
      </w:pPr>
      <w:r>
        <w:rPr>
          <w:rFonts w:ascii="Arial" w:cs="Arial" w:eastAsia="Arial" w:hAnsi="Arial"/>
          <w:sz w:val="22"/>
          <w:szCs w:val="22"/>
        </w:rPr>
        <w:t xml:space="preserve">The model lives in AppThere.Loki.Writer.Model. The root type is LokiDocument.</w:t>
      </w:r>
    </w:p>
    <w:p>
      <w:pPr>
        <w:shd w:color="F4F4F4" w:val="solid"/>
        <w:spacing w:after="40" w:before="40"/>
        <w:ind w:left="720"/>
      </w:pPr>
      <w:r>
        <w:rPr>
          <w:rFonts w:ascii="Courier New" w:cs="Courier New" w:eastAsia="Courier New" w:hAnsi="Courier New"/>
          <w:color w:val="1A1A1A"/>
          <w:sz w:val="18"/>
          <w:szCs w:val="18"/>
        </w:rPr>
        <w:t xml:space="preserve">LokiDocument</w:t>
      </w:r>
    </w:p>
    <w:p>
      <w:pPr>
        <w:shd w:color="F4F4F4" w:val="solid"/>
        <w:spacing w:after="40" w:before="40"/>
        <w:ind w:left="720"/>
      </w:pPr>
      <w:r>
        <w:rPr>
          <w:rFonts w:ascii="Courier New" w:cs="Courier New" w:eastAsia="Courier New" w:hAnsi="Courier New"/>
          <w:color w:val="1A1A1A"/>
          <w:sz w:val="18"/>
          <w:szCs w:val="18"/>
        </w:rPr>
        <w:t xml:space="preserve">  └── ImmutableList&lt;BlockNode&gt; Body</w:t>
      </w:r>
    </w:p>
    <w:p>
      <w:pPr>
        <w:shd w:color="F4F4F4" w:val="solid"/>
        <w:spacing w:after="40" w:before="40"/>
        <w:ind w:left="720"/>
      </w:pPr>
      <w:r>
        <w:rPr>
          <w:rFonts w:ascii="Courier New" w:cs="Courier New" w:eastAsia="Courier New" w:hAnsi="Courier New"/>
          <w:color w:val="1A1A1A"/>
          <w:sz w:val="18"/>
          <w:szCs w:val="18"/>
        </w:rPr>
        <w:t xml:space="preserve"/>
      </w:r>
    </w:p>
    <w:p>
      <w:pPr>
        <w:shd w:color="F4F4F4" w:val="solid"/>
        <w:spacing w:after="40" w:before="40"/>
        <w:ind w:left="720"/>
      </w:pPr>
      <w:r>
        <w:rPr>
          <w:rFonts w:ascii="Courier New" w:cs="Courier New" w:eastAsia="Courier New" w:hAnsi="Courier New"/>
          <w:color w:val="1A1A1A"/>
          <w:sz w:val="18"/>
          <w:szCs w:val="18"/>
        </w:rPr>
        <w:t xml:space="preserve">BlockNode  (abstract)</w:t>
      </w:r>
    </w:p>
    <w:p>
      <w:pPr>
        <w:shd w:color="F4F4F4" w:val="solid"/>
        <w:spacing w:after="40" w:before="40"/>
        <w:ind w:left="720"/>
      </w:pPr>
      <w:r>
        <w:rPr>
          <w:rFonts w:ascii="Courier New" w:cs="Courier New" w:eastAsia="Courier New" w:hAnsi="Courier New"/>
          <w:color w:val="1A1A1A"/>
          <w:sz w:val="18"/>
          <w:szCs w:val="18"/>
        </w:rPr>
        <w:t xml:space="preserve">  ├── ParagraphNode</w:t>
      </w:r>
    </w:p>
    <w:p>
      <w:pPr>
        <w:shd w:color="F4F4F4" w:val="solid"/>
        <w:spacing w:after="40" w:before="40"/>
        <w:ind w:left="720"/>
      </w:pPr>
      <w:r>
        <w:rPr>
          <w:rFonts w:ascii="Courier New" w:cs="Courier New" w:eastAsia="Courier New" w:hAnsi="Courier New"/>
          <w:color w:val="1A1A1A"/>
          <w:sz w:val="18"/>
          <w:szCs w:val="18"/>
        </w:rPr>
        <w:t xml:space="preserve">  │     ├── ParagraphStyle  ResolvedStyle</w:t>
      </w:r>
    </w:p>
    <w:p>
      <w:pPr>
        <w:shd w:color="F4F4F4" w:val="solid"/>
        <w:spacing w:after="40" w:before="40"/>
        <w:ind w:left="720"/>
      </w:pPr>
      <w:r>
        <w:rPr>
          <w:rFonts w:ascii="Courier New" w:cs="Courier New" w:eastAsia="Courier New" w:hAnsi="Courier New"/>
          <w:color w:val="1A1A1A"/>
          <w:sz w:val="18"/>
          <w:szCs w:val="18"/>
        </w:rPr>
        <w:t xml:space="preserve">  │     └── ImmutableList&lt;InlineNode&gt; Inlines</w:t>
      </w:r>
    </w:p>
    <w:p>
      <w:pPr>
        <w:shd w:color="F4F4F4" w:val="solid"/>
        <w:spacing w:after="40" w:before="40"/>
        <w:ind w:left="720"/>
      </w:pPr>
      <w:r>
        <w:rPr>
          <w:rFonts w:ascii="Courier New" w:cs="Courier New" w:eastAsia="Courier New" w:hAnsi="Courier New"/>
          <w:color w:val="1A1A1A"/>
          <w:sz w:val="18"/>
          <w:szCs w:val="18"/>
        </w:rPr>
        <w:t xml:space="preserve">  └── ContainerNode        (Phase 4+: tables, frames)</w:t>
      </w:r>
    </w:p>
    <w:p>
      <w:pPr>
        <w:shd w:color="F4F4F4" w:val="solid"/>
        <w:spacing w:after="40" w:before="40"/>
        <w:ind w:left="720"/>
      </w:pPr>
      <w:r>
        <w:rPr>
          <w:rFonts w:ascii="Courier New" w:cs="Courier New" w:eastAsia="Courier New" w:hAnsi="Courier New"/>
          <w:color w:val="1A1A1A"/>
          <w:sz w:val="18"/>
          <w:szCs w:val="18"/>
        </w:rPr>
        <w:t xml:space="preserve"/>
      </w:r>
    </w:p>
    <w:p>
      <w:pPr>
        <w:shd w:color="F4F4F4" w:val="solid"/>
        <w:spacing w:after="40" w:before="40"/>
        <w:ind w:left="720"/>
      </w:pPr>
      <w:r>
        <w:rPr>
          <w:rFonts w:ascii="Courier New" w:cs="Courier New" w:eastAsia="Courier New" w:hAnsi="Courier New"/>
          <w:color w:val="1A1A1A"/>
          <w:sz w:val="18"/>
          <w:szCs w:val="18"/>
        </w:rPr>
        <w:t xml:space="preserve">InlineNode  (abstract)</w:t>
      </w:r>
    </w:p>
    <w:p>
      <w:pPr>
        <w:shd w:color="F4F4F4" w:val="solid"/>
        <w:spacing w:after="40" w:before="40"/>
        <w:ind w:left="720"/>
      </w:pPr>
      <w:r>
        <w:rPr>
          <w:rFonts w:ascii="Courier New" w:cs="Courier New" w:eastAsia="Courier New" w:hAnsi="Courier New"/>
          <w:color w:val="1A1A1A"/>
          <w:sz w:val="18"/>
          <w:szCs w:val="18"/>
        </w:rPr>
        <w:t xml:space="preserve">  ├── RunNode</w:t>
      </w:r>
    </w:p>
    <w:p>
      <w:pPr>
        <w:shd w:color="F4F4F4" w:val="solid"/>
        <w:spacing w:after="40" w:before="40"/>
        <w:ind w:left="720"/>
      </w:pPr>
      <w:r>
        <w:rPr>
          <w:rFonts w:ascii="Courier New" w:cs="Courier New" w:eastAsia="Courier New" w:hAnsi="Courier New"/>
          <w:color w:val="1A1A1A"/>
          <w:sz w:val="18"/>
          <w:szCs w:val="18"/>
        </w:rPr>
        <w:t xml:space="preserve">  │     ├── CharacterStyle  ResolvedStyle</w:t>
      </w:r>
    </w:p>
    <w:p>
      <w:pPr>
        <w:shd w:color="F4F4F4" w:val="solid"/>
        <w:spacing w:after="40" w:before="40"/>
        <w:ind w:left="720"/>
      </w:pPr>
      <w:r>
        <w:rPr>
          <w:rFonts w:ascii="Courier New" w:cs="Courier New" w:eastAsia="Courier New" w:hAnsi="Courier New"/>
          <w:color w:val="1A1A1A"/>
          <w:sz w:val="18"/>
          <w:szCs w:val="18"/>
        </w:rPr>
        <w:t xml:space="preserve">  │     └── string          Text</w:t>
      </w:r>
    </w:p>
    <w:p>
      <w:pPr>
        <w:shd w:color="F4F4F4" w:val="solid"/>
        <w:spacing w:after="40" w:before="40"/>
        <w:ind w:left="720"/>
      </w:pPr>
      <w:r>
        <w:rPr>
          <w:rFonts w:ascii="Courier New" w:cs="Courier New" w:eastAsia="Courier New" w:hAnsi="Courier New"/>
          <w:color w:val="1A1A1A"/>
          <w:sz w:val="18"/>
          <w:szCs w:val="18"/>
        </w:rPr>
        <w:t xml:space="preserve">  ├── HardLineBreakNode</w:t>
      </w:r>
    </w:p>
    <w:p>
      <w:pPr>
        <w:shd w:color="F4F4F4" w:val="solid"/>
        <w:spacing w:after="40" w:before="40"/>
        <w:ind w:left="720"/>
      </w:pPr>
      <w:r>
        <w:rPr>
          <w:rFonts w:ascii="Courier New" w:cs="Courier New" w:eastAsia="Courier New" w:hAnsi="Courier New"/>
          <w:color w:val="1A1A1A"/>
          <w:sz w:val="18"/>
          <w:szCs w:val="18"/>
        </w:rPr>
        <w:t xml:space="preserve">  └── InlineImageNode      (Phase 4+)</w:t>
      </w:r>
    </w:p>
    <w:p>
      <w:pPr>
        <w:spacing w:after="80" w:before="80"/>
      </w:pPr>
      <w:r>
        <w:rPr>
          <w:rFonts w:ascii="Arial" w:cs="Arial" w:eastAsia="Arial" w:hAnsi="Arial"/>
          <w:sz w:val="22"/>
          <w:szCs w:val="22"/>
        </w:rPr>
        <w:t xml:space="preserve">All nodes are sealed records. The tree is immutable after construction — mutations produce new trees via non-destructive update (record with expression). The layout engine receives an immutable snapshot; it never sees a partially-mutated document.</w:t>
      </w:r>
    </w:p>
    <w:p>
      <w:pPr>
        <w:pStyle w:val="Heading3"/>
        <w:spacing w:after="80" w:before="180"/>
      </w:pPr>
      <w:r>
        <w:rPr>
          <w:rFonts w:ascii="Arial" w:cs="Arial" w:eastAsia="Arial" w:hAnsi="Arial"/>
          <w:b/>
          <w:bCs/>
          <w:color w:val="444444"/>
          <w:sz w:val="22"/>
          <w:szCs w:val="22"/>
        </w:rPr>
        <w:t xml:space="preserve">2.3 Style system</w:t>
      </w:r>
    </w:p>
    <w:p>
      <w:pPr>
        <w:spacing w:after="80" w:before="80"/>
      </w:pPr>
      <w:r>
        <w:rPr>
          <w:rFonts w:ascii="Arial" w:cs="Arial" w:eastAsia="Arial" w:hAnsi="Arial"/>
          <w:sz w:val="22"/>
          <w:szCs w:val="22"/>
        </w:rPr>
        <w:t xml:space="preserve">Styles are resolved through a full cascade at import time and stored as computed value structs on each node. The cascade order is:</w:t>
      </w:r>
    </w:p>
    <w:p>
      <w:pPr>
        <w:pStyle w:val="ListParagraph"/>
        <w:numPr>
          <w:ilvl w:val="0"/>
          <w:numId w:val="1"/>
        </w:numPr>
        <w:spacing w:after="40" w:before="40"/>
      </w:pPr>
      <w:r>
        <w:rPr>
          <w:rFonts w:ascii="Arial" w:cs="Arial" w:eastAsia="Arial" w:hAnsi="Arial"/>
          <w:sz w:val="22"/>
          <w:szCs w:val="22"/>
        </w:rPr>
        <w:t xml:space="preserve">1. Document defaults (set by the document's default paragraph/character style)</w:t>
      </w:r>
    </w:p>
    <w:p>
      <w:pPr>
        <w:pStyle w:val="ListParagraph"/>
        <w:numPr>
          <w:ilvl w:val="0"/>
          <w:numId w:val="1"/>
        </w:numPr>
        <w:spacing w:after="40" w:before="40"/>
      </w:pPr>
      <w:r>
        <w:rPr>
          <w:rFonts w:ascii="Arial" w:cs="Arial" w:eastAsia="Arial" w:hAnsi="Arial"/>
          <w:sz w:val="22"/>
          <w:szCs w:val="22"/>
        </w:rPr>
        <w:t xml:space="preserve">2. Named paragraph or character style (resolved through the style inheritance chain)</w:t>
      </w:r>
    </w:p>
    <w:p>
      <w:pPr>
        <w:pStyle w:val="ListParagraph"/>
        <w:numPr>
          <w:ilvl w:val="0"/>
          <w:numId w:val="1"/>
        </w:numPr>
        <w:spacing w:after="40" w:before="40"/>
      </w:pPr>
      <w:r>
        <w:rPr>
          <w:rFonts w:ascii="Arial" w:cs="Arial" w:eastAsia="Arial" w:hAnsi="Arial"/>
          <w:sz w:val="22"/>
          <w:szCs w:val="22"/>
        </w:rPr>
        <w:t xml:space="preserve">3. Direct formatting (explicit overrides on the paragraph or run)</w:t>
      </w:r>
    </w:p>
    <w:p>
      <w:pPr>
        <w:spacing w:after="80" w:before="80"/>
      </w:pPr>
      <w:r>
        <w:rPr>
          <w:rFonts w:ascii="Arial" w:cs="Arial" w:eastAsia="Arial" w:hAnsi="Arial"/>
          <w:sz w:val="22"/>
          <w:szCs w:val="22"/>
        </w:rPr>
        <w:t xml:space="preserve">Resolution produces two computed style structs:</w:t>
      </w:r>
    </w:p>
    <w:p>
      <w:pPr>
        <w:shd w:color="F4F4F4" w:val="solid"/>
        <w:spacing w:after="40" w:before="40"/>
        <w:ind w:left="720"/>
      </w:pPr>
      <w:r>
        <w:rPr>
          <w:rFonts w:ascii="Courier New" w:cs="Courier New" w:eastAsia="Courier New" w:hAnsi="Courier New"/>
          <w:color w:val="1A1A1A"/>
          <w:sz w:val="18"/>
          <w:szCs w:val="18"/>
        </w:rPr>
        <w:t xml:space="preserve">public sealed record ParagraphStyle(</w:t>
      </w:r>
    </w:p>
    <w:p>
      <w:pPr>
        <w:shd w:color="F4F4F4" w:val="solid"/>
        <w:spacing w:after="40" w:before="40"/>
        <w:ind w:left="720"/>
      </w:pPr>
      <w:r>
        <w:rPr>
          <w:rFonts w:ascii="Courier New" w:cs="Courier New" w:eastAsia="Courier New" w:hAnsi="Courier New"/>
          <w:color w:val="1A1A1A"/>
          <w:sz w:val="18"/>
          <w:szCs w:val="18"/>
        </w:rPr>
        <w:t xml:space="preserve">    FontDescriptor  Font,</w:t>
      </w:r>
    </w:p>
    <w:p>
      <w:pPr>
        <w:shd w:color="F4F4F4" w:val="solid"/>
        <w:spacing w:after="40" w:before="40"/>
        <w:ind w:left="720"/>
      </w:pPr>
      <w:r>
        <w:rPr>
          <w:rFonts w:ascii="Courier New" w:cs="Courier New" w:eastAsia="Courier New" w:hAnsi="Courier New"/>
          <w:color w:val="1A1A1A"/>
          <w:sz w:val="18"/>
          <w:szCs w:val="18"/>
        </w:rPr>
        <w:t xml:space="preserve">    float           FontSizePts,</w:t>
      </w:r>
    </w:p>
    <w:p>
      <w:pPr>
        <w:shd w:color="F4F4F4" w:val="solid"/>
        <w:spacing w:after="40" w:before="40"/>
        <w:ind w:left="720"/>
      </w:pPr>
      <w:r>
        <w:rPr>
          <w:rFonts w:ascii="Courier New" w:cs="Courier New" w:eastAsia="Courier New" w:hAnsi="Courier New"/>
          <w:color w:val="1A1A1A"/>
          <w:sz w:val="18"/>
          <w:szCs w:val="18"/>
        </w:rPr>
        <w:t xml:space="preserve">    LokiColor       Color,</w:t>
      </w:r>
    </w:p>
    <w:p>
      <w:pPr>
        <w:shd w:color="F4F4F4" w:val="solid"/>
        <w:spacing w:after="40" w:before="40"/>
        <w:ind w:left="720"/>
      </w:pPr>
      <w:r>
        <w:rPr>
          <w:rFonts w:ascii="Courier New" w:cs="Courier New" w:eastAsia="Courier New" w:hAnsi="Courier New"/>
          <w:color w:val="1A1A1A"/>
          <w:sz w:val="18"/>
          <w:szCs w:val="18"/>
        </w:rPr>
        <w:t xml:space="preserve">    TextAlignment   Alignment,      // Left, Right, Centre, Justify</w:t>
      </w:r>
    </w:p>
    <w:p>
      <w:pPr>
        <w:shd w:color="F4F4F4" w:val="solid"/>
        <w:spacing w:after="40" w:before="40"/>
        <w:ind w:left="720"/>
      </w:pPr>
      <w:r>
        <w:rPr>
          <w:rFonts w:ascii="Courier New" w:cs="Courier New" w:eastAsia="Courier New" w:hAnsi="Courier New"/>
          <w:color w:val="1A1A1A"/>
          <w:sz w:val="18"/>
          <w:szCs w:val="18"/>
        </w:rPr>
        <w:t xml:space="preserve">    Thickness       Margin,         // before/after/start/end in pts</w:t>
      </w:r>
    </w:p>
    <w:p>
      <w:pPr>
        <w:shd w:color="F4F4F4" w:val="solid"/>
        <w:spacing w:after="40" w:before="40"/>
        <w:ind w:left="720"/>
      </w:pPr>
      <w:r>
        <w:rPr>
          <w:rFonts w:ascii="Courier New" w:cs="Courier New" w:eastAsia="Courier New" w:hAnsi="Courier New"/>
          <w:color w:val="1A1A1A"/>
          <w:sz w:val="18"/>
          <w:szCs w:val="18"/>
        </w:rPr>
        <w:t xml:space="preserve">    Thickness       Padding,</w:t>
      </w:r>
    </w:p>
    <w:p>
      <w:pPr>
        <w:shd w:color="F4F4F4" w:val="solid"/>
        <w:spacing w:after="40" w:before="40"/>
        <w:ind w:left="720"/>
      </w:pPr>
      <w:r>
        <w:rPr>
          <w:rFonts w:ascii="Courier New" w:cs="Courier New" w:eastAsia="Courier New" w:hAnsi="Courier New"/>
          <w:color w:val="1A1A1A"/>
          <w:sz w:val="18"/>
          <w:szCs w:val="18"/>
        </w:rPr>
        <w:t xml:space="preserve">    float           LineHeightPts,  // computed: FontSizePts * leading</w:t>
      </w:r>
    </w:p>
    <w:p>
      <w:pPr>
        <w:shd w:color="F4F4F4" w:val="solid"/>
        <w:spacing w:after="40" w:before="40"/>
        <w:ind w:left="720"/>
      </w:pPr>
      <w:r>
        <w:rPr>
          <w:rFonts w:ascii="Courier New" w:cs="Courier New" w:eastAsia="Courier New" w:hAnsi="Courier New"/>
          <w:color w:val="1A1A1A"/>
          <w:sz w:val="18"/>
          <w:szCs w:val="18"/>
        </w:rPr>
        <w:t xml:space="preserve">    float           FirstLineIndentPts,</w:t>
      </w:r>
    </w:p>
    <w:p>
      <w:pPr>
        <w:shd w:color="F4F4F4" w:val="solid"/>
        <w:spacing w:after="40" w:before="40"/>
        <w:ind w:left="720"/>
      </w:pPr>
      <w:r>
        <w:rPr>
          <w:rFonts w:ascii="Courier New" w:cs="Courier New" w:eastAsia="Courier New" w:hAnsi="Courier New"/>
          <w:color w:val="1A1A1A"/>
          <w:sz w:val="18"/>
          <w:szCs w:val="18"/>
        </w:rPr>
        <w:t xml:space="preserve">    float           HangingIndentPts,</w:t>
      </w:r>
    </w:p>
    <w:p>
      <w:pPr>
        <w:shd w:color="F4F4F4" w:val="solid"/>
        <w:spacing w:after="40" w:before="40"/>
        <w:ind w:left="720"/>
      </w:pPr>
      <w:r>
        <w:rPr>
          <w:rFonts w:ascii="Courier New" w:cs="Courier New" w:eastAsia="Courier New" w:hAnsi="Courier New"/>
          <w:color w:val="1A1A1A"/>
          <w:sz w:val="18"/>
          <w:szCs w:val="18"/>
        </w:rPr>
        <w:t xml:space="preserve">    string?         ListStyleId,    // null = not a list item</w:t>
      </w:r>
    </w:p>
    <w:p>
      <w:pPr>
        <w:shd w:color="F4F4F4" w:val="solid"/>
        <w:spacing w:after="40" w:before="40"/>
        <w:ind w:left="720"/>
      </w:pPr>
      <w:r>
        <w:rPr>
          <w:rFonts w:ascii="Courier New" w:cs="Courier New" w:eastAsia="Courier New" w:hAnsi="Courier New"/>
          <w:color w:val="1A1A1A"/>
          <w:sz w:val="18"/>
          <w:szCs w:val="18"/>
        </w:rPr>
        <w:t xml:space="preserve">    int             ListLevel)      // 0-based</w:t>
      </w:r>
    </w:p>
    <w:p>
      <w:pPr>
        <w:shd w:color="F4F4F4" w:val="solid"/>
        <w:spacing w:after="40" w:before="40"/>
        <w:ind w:left="720"/>
      </w:pPr>
      <w:r>
        <w:rPr>
          <w:rFonts w:ascii="Courier New" w:cs="Courier New" w:eastAsia="Courier New" w:hAnsi="Courier New"/>
          <w:color w:val="1A1A1A"/>
          <w:sz w:val="18"/>
          <w:szCs w:val="18"/>
        </w:rPr>
        <w:t xml:space="preserve"/>
      </w:r>
    </w:p>
    <w:p>
      <w:pPr>
        <w:shd w:color="F4F4F4" w:val="solid"/>
        <w:spacing w:after="40" w:before="40"/>
        <w:ind w:left="720"/>
      </w:pPr>
      <w:r>
        <w:rPr>
          <w:rFonts w:ascii="Courier New" w:cs="Courier New" w:eastAsia="Courier New" w:hAnsi="Courier New"/>
          <w:color w:val="1A1A1A"/>
          <w:sz w:val="18"/>
          <w:szCs w:val="18"/>
        </w:rPr>
        <w:t xml:space="preserve">public sealed record CharacterStyle(</w:t>
      </w:r>
    </w:p>
    <w:p>
      <w:pPr>
        <w:shd w:color="F4F4F4" w:val="solid"/>
        <w:spacing w:after="40" w:before="40"/>
        <w:ind w:left="720"/>
      </w:pPr>
      <w:r>
        <w:rPr>
          <w:rFonts w:ascii="Courier New" w:cs="Courier New" w:eastAsia="Courier New" w:hAnsi="Courier New"/>
          <w:color w:val="1A1A1A"/>
          <w:sz w:val="18"/>
          <w:szCs w:val="18"/>
        </w:rPr>
        <w:t xml:space="preserve">    FontDescriptor  Font,</w:t>
      </w:r>
    </w:p>
    <w:p>
      <w:pPr>
        <w:shd w:color="F4F4F4" w:val="solid"/>
        <w:spacing w:after="40" w:before="40"/>
        <w:ind w:left="720"/>
      </w:pPr>
      <w:r>
        <w:rPr>
          <w:rFonts w:ascii="Courier New" w:cs="Courier New" w:eastAsia="Courier New" w:hAnsi="Courier New"/>
          <w:color w:val="1A1A1A"/>
          <w:sz w:val="18"/>
          <w:szCs w:val="18"/>
        </w:rPr>
        <w:t xml:space="preserve">    float           FontSizePts,</w:t>
      </w:r>
    </w:p>
    <w:p>
      <w:pPr>
        <w:shd w:color="F4F4F4" w:val="solid"/>
        <w:spacing w:after="40" w:before="40"/>
        <w:ind w:left="720"/>
      </w:pPr>
      <w:r>
        <w:rPr>
          <w:rFonts w:ascii="Courier New" w:cs="Courier New" w:eastAsia="Courier New" w:hAnsi="Courier New"/>
          <w:color w:val="1A1A1A"/>
          <w:sz w:val="18"/>
          <w:szCs w:val="18"/>
        </w:rPr>
        <w:t xml:space="preserve">    LokiColor       Color,</w:t>
      </w:r>
    </w:p>
    <w:p>
      <w:pPr>
        <w:shd w:color="F4F4F4" w:val="solid"/>
        <w:spacing w:after="40" w:before="40"/>
        <w:ind w:left="720"/>
      </w:pPr>
      <w:r>
        <w:rPr>
          <w:rFonts w:ascii="Courier New" w:cs="Courier New" w:eastAsia="Courier New" w:hAnsi="Courier New"/>
          <w:color w:val="1A1A1A"/>
          <w:sz w:val="18"/>
          <w:szCs w:val="18"/>
        </w:rPr>
        <w:t xml:space="preserve">    LokiColor?      BackgroundColor,</w:t>
      </w:r>
    </w:p>
    <w:p>
      <w:pPr>
        <w:shd w:color="F4F4F4" w:val="solid"/>
        <w:spacing w:after="40" w:before="40"/>
        <w:ind w:left="720"/>
      </w:pPr>
      <w:r>
        <w:rPr>
          <w:rFonts w:ascii="Courier New" w:cs="Courier New" w:eastAsia="Courier New" w:hAnsi="Courier New"/>
          <w:color w:val="1A1A1A"/>
          <w:sz w:val="18"/>
          <w:szCs w:val="18"/>
        </w:rPr>
        <w:t xml:space="preserve">    bool            Bold,</w:t>
      </w:r>
    </w:p>
    <w:p>
      <w:pPr>
        <w:shd w:color="F4F4F4" w:val="solid"/>
        <w:spacing w:after="40" w:before="40"/>
        <w:ind w:left="720"/>
      </w:pPr>
      <w:r>
        <w:rPr>
          <w:rFonts w:ascii="Courier New" w:cs="Courier New" w:eastAsia="Courier New" w:hAnsi="Courier New"/>
          <w:color w:val="1A1A1A"/>
          <w:sz w:val="18"/>
          <w:szCs w:val="18"/>
        </w:rPr>
        <w:t xml:space="preserve">    bool            Italic,</w:t>
      </w:r>
    </w:p>
    <w:p>
      <w:pPr>
        <w:shd w:color="F4F4F4" w:val="solid"/>
        <w:spacing w:after="40" w:before="40"/>
        <w:ind w:left="720"/>
      </w:pPr>
      <w:r>
        <w:rPr>
          <w:rFonts w:ascii="Courier New" w:cs="Courier New" w:eastAsia="Courier New" w:hAnsi="Courier New"/>
          <w:color w:val="1A1A1A"/>
          <w:sz w:val="18"/>
          <w:szCs w:val="18"/>
        </w:rPr>
        <w:t xml:space="preserve">    bool            Underline,</w:t>
      </w:r>
    </w:p>
    <w:p>
      <w:pPr>
        <w:shd w:color="F4F4F4" w:val="solid"/>
        <w:spacing w:after="40" w:before="40"/>
        <w:ind w:left="720"/>
      </w:pPr>
      <w:r>
        <w:rPr>
          <w:rFonts w:ascii="Courier New" w:cs="Courier New" w:eastAsia="Courier New" w:hAnsi="Courier New"/>
          <w:color w:val="1A1A1A"/>
          <w:sz w:val="18"/>
          <w:szCs w:val="18"/>
        </w:rPr>
        <w:t xml:space="preserve">    bool            Strikethrough,</w:t>
      </w:r>
    </w:p>
    <w:p>
      <w:pPr>
        <w:shd w:color="F4F4F4" w:val="solid"/>
        <w:spacing w:after="40" w:before="40"/>
        <w:ind w:left="720"/>
      </w:pPr>
      <w:r>
        <w:rPr>
          <w:rFonts w:ascii="Courier New" w:cs="Courier New" w:eastAsia="Courier New" w:hAnsi="Courier New"/>
          <w:color w:val="1A1A1A"/>
          <w:sz w:val="18"/>
          <w:szCs w:val="18"/>
        </w:rPr>
        <w:t xml:space="preserve">    TextBaseline    Baseline)       // Normal, Superscript, Subscript</w:t>
      </w:r>
    </w:p>
    <w:p>
      <w:pPr>
        <w:spacing w:after="80" w:before="80"/>
      </w:pPr>
      <w:r>
        <w:rPr>
          <w:rFonts w:ascii="Arial" w:cs="Arial" w:eastAsia="Arial" w:hAnsi="Arial"/>
          <w:sz w:val="22"/>
          <w:szCs w:val="22"/>
        </w:rPr>
        <w:t xml:space="preserve">The StyleResolver class (in AppThere.Loki.Writer.Model) performs cascade resolution. It is called by the ODF importer during document construction, not by the layout engine. The layout engine reads only computed ParagraphStyle and CharacterStyle values — it has no knowledge of named styles or ODF/OOXML style inheritance.</w:t>
      </w:r>
    </w:p>
    <w:p>
      <w:pPr>
        <w:pStyle w:val="Heading3"/>
        <w:spacing w:after="80" w:before="180"/>
      </w:pPr>
      <w:r>
        <w:rPr>
          <w:rFonts w:ascii="Arial" w:cs="Arial" w:eastAsia="Arial" w:hAnsi="Arial"/>
          <w:b/>
          <w:bCs/>
          <w:color w:val="444444"/>
          <w:sz w:val="22"/>
          <w:szCs w:val="22"/>
        </w:rPr>
        <w:t xml:space="preserve">2.4 Style registry</w:t>
      </w:r>
    </w:p>
    <w:p>
      <w:pPr>
        <w:spacing w:after="80" w:before="80"/>
      </w:pPr>
      <w:r>
        <w:rPr>
          <w:rFonts w:ascii="Arial" w:cs="Arial" w:eastAsia="Arial" w:hAnsi="Arial"/>
          <w:sz w:val="22"/>
          <w:szCs w:val="22"/>
        </w:rPr>
        <w:t xml:space="preserve">LokiDocument carries a StyleRegistry that maps style names to their inheritance chain. This is populated by the importer and used only by StyleResolver. After resolution, the layout engine ignores it.</w:t>
      </w:r>
    </w:p>
    <w:p>
      <w:pPr>
        <w:shd w:color="F4F4F4" w:val="solid"/>
        <w:spacing w:after="40" w:before="40"/>
        <w:ind w:left="720"/>
      </w:pPr>
      <w:r>
        <w:rPr>
          <w:rFonts w:ascii="Courier New" w:cs="Courier New" w:eastAsia="Courier New" w:hAnsi="Courier New"/>
          <w:color w:val="1A1A1A"/>
          <w:sz w:val="18"/>
          <w:szCs w:val="18"/>
        </w:rPr>
        <w:t xml:space="preserve">public sealed class StyleRegistry</w:t>
      </w:r>
    </w:p>
    <w:p>
      <w:pPr>
        <w:shd w:color="F4F4F4" w:val="solid"/>
        <w:spacing w:after="40" w:before="40"/>
        <w:ind w:left="720"/>
      </w:pPr>
      <w:r>
        <w:rPr>
          <w:rFonts w:ascii="Courier New" w:cs="Courier New" w:eastAsia="Courier New" w:hAnsi="Courier New"/>
          <w:color w:val="1A1A1A"/>
          <w:sz w:val="18"/>
          <w:szCs w:val="18"/>
        </w:rPr>
        <w:t xml:space="preserve">{</w:t>
      </w:r>
    </w:p>
    <w:p>
      <w:pPr>
        <w:shd w:color="F4F4F4" w:val="solid"/>
        <w:spacing w:after="40" w:before="40"/>
        <w:ind w:left="720"/>
      </w:pPr>
      <w:r>
        <w:rPr>
          <w:rFonts w:ascii="Courier New" w:cs="Courier New" w:eastAsia="Courier New" w:hAnsi="Courier New"/>
          <w:color w:val="1A1A1A"/>
          <w:sz w:val="18"/>
          <w:szCs w:val="18"/>
        </w:rPr>
        <w:t xml:space="preserve">    IReadOnlyDictionary&lt;string, ParagraphStyleDef&gt; ParagraphStyles { get; }</w:t>
      </w:r>
    </w:p>
    <w:p>
      <w:pPr>
        <w:shd w:color="F4F4F4" w:val="solid"/>
        <w:spacing w:after="40" w:before="40"/>
        <w:ind w:left="720"/>
      </w:pPr>
      <w:r>
        <w:rPr>
          <w:rFonts w:ascii="Courier New" w:cs="Courier New" w:eastAsia="Courier New" w:hAnsi="Courier New"/>
          <w:color w:val="1A1A1A"/>
          <w:sz w:val="18"/>
          <w:szCs w:val="18"/>
        </w:rPr>
        <w:t xml:space="preserve">    IReadOnlyDictionary&lt;string, CharacterStyleDef&gt; CharacterStyles { get; }</w:t>
      </w:r>
    </w:p>
    <w:p>
      <w:pPr>
        <w:shd w:color="F4F4F4" w:val="solid"/>
        <w:spacing w:after="40" w:before="40"/>
        <w:ind w:left="720"/>
      </w:pPr>
      <w:r>
        <w:rPr>
          <w:rFonts w:ascii="Courier New" w:cs="Courier New" w:eastAsia="Courier New" w:hAnsi="Courier New"/>
          <w:color w:val="1A1A1A"/>
          <w:sz w:val="18"/>
          <w:szCs w:val="18"/>
        </w:rPr>
        <w:t xml:space="preserve">    string? DefaultParagraphStyleId { get; }</w:t>
      </w:r>
    </w:p>
    <w:p>
      <w:pPr>
        <w:shd w:color="F4F4F4" w:val="solid"/>
        <w:spacing w:after="40" w:before="40"/>
        <w:ind w:left="720"/>
      </w:pPr>
      <w:r>
        <w:rPr>
          <w:rFonts w:ascii="Courier New" w:cs="Courier New" w:eastAsia="Courier New" w:hAnsi="Courier New"/>
          <w:color w:val="1A1A1A"/>
          <w:sz w:val="18"/>
          <w:szCs w:val="18"/>
        </w:rPr>
        <w:t xml:space="preserve">    string? DefaultCharacterStyleId { get; }</w:t>
      </w:r>
    </w:p>
    <w:p>
      <w:pPr>
        <w:shd w:color="F4F4F4" w:val="solid"/>
        <w:spacing w:after="40" w:before="40"/>
        <w:ind w:left="720"/>
      </w:pPr>
      <w:r>
        <w:rPr>
          <w:rFonts w:ascii="Courier New" w:cs="Courier New" w:eastAsia="Courier New" w:hAnsi="Courier New"/>
          <w:color w:val="1A1A1A"/>
          <w:sz w:val="18"/>
          <w:szCs w:val="18"/>
        </w:rPr>
        <w:t xml:space="preserve">}</w:t>
      </w:r>
    </w:p>
    <w:p>
      <w:pPr>
        <w:spacing w:after="80" w:before="80"/>
      </w:pPr>
      <w:r>
        <w:rPr>
          <w:rFonts w:ascii="Arial" w:cs="Arial" w:eastAsia="Arial" w:hAnsi="Arial"/>
          <w:sz w:val="22"/>
          <w:szCs w:val="22"/>
        </w:rPr>
        <w:t xml:space="preserve">StyleDef types carry the raw (pre-cascade) property values and a ParentId for inheritance. StyleResolver walks the chain from leaf to root, applying properties in cascade order.</w:t>
      </w:r>
    </w:p>
    <w:p>
      <w:pPr>
        <w:pStyle w:val="Heading3"/>
        <w:spacing w:after="80" w:before="180"/>
      </w:pPr>
      <w:r>
        <w:rPr>
          <w:rFonts w:ascii="Arial" w:cs="Arial" w:eastAsia="Arial" w:hAnsi="Arial"/>
          <w:b/>
          <w:bCs/>
          <w:color w:val="444444"/>
          <w:sz w:val="22"/>
          <w:szCs w:val="22"/>
        </w:rPr>
        <w:t xml:space="preserve">2.5 Mutability model</w:t>
      </w:r>
    </w:p>
    <w:p>
      <w:pPr>
        <w:spacing w:after="80" w:before="80"/>
      </w:pPr>
      <w:r>
        <w:rPr>
          <w:rFonts w:ascii="Arial" w:cs="Arial" w:eastAsia="Arial" w:hAnsi="Arial"/>
          <w:sz w:val="22"/>
          <w:szCs w:val="22"/>
        </w:rPr>
        <w:t xml:space="preserve">LokiDocument is an immutable snapshot. The Writer engine holds a mutable DocumentState that wraps the current snapshot and manages version numbering:</w:t>
      </w:r>
    </w:p>
    <w:p>
      <w:pPr>
        <w:shd w:color="F4F4F4" w:val="solid"/>
        <w:spacing w:after="40" w:before="40"/>
        <w:ind w:left="720"/>
      </w:pPr>
      <w:r>
        <w:rPr>
          <w:rFonts w:ascii="Courier New" w:cs="Courier New" w:eastAsia="Courier New" w:hAnsi="Courier New"/>
          <w:color w:val="1A1A1A"/>
          <w:sz w:val="18"/>
          <w:szCs w:val="18"/>
        </w:rPr>
        <w:t xml:space="preserve">internal sealed class DocumentState</w:t>
      </w:r>
    </w:p>
    <w:p>
      <w:pPr>
        <w:shd w:color="F4F4F4" w:val="solid"/>
        <w:spacing w:after="40" w:before="40"/>
        <w:ind w:left="720"/>
      </w:pPr>
      <w:r>
        <w:rPr>
          <w:rFonts w:ascii="Courier New" w:cs="Courier New" w:eastAsia="Courier New" w:hAnsi="Courier New"/>
          <w:color w:val="1A1A1A"/>
          <w:sz w:val="18"/>
          <w:szCs w:val="18"/>
        </w:rPr>
        <w:t xml:space="preserve">{</w:t>
      </w:r>
    </w:p>
    <w:p>
      <w:pPr>
        <w:shd w:color="F4F4F4" w:val="solid"/>
        <w:spacing w:after="40" w:before="40"/>
        <w:ind w:left="720"/>
      </w:pPr>
      <w:r>
        <w:rPr>
          <w:rFonts w:ascii="Courier New" w:cs="Courier New" w:eastAsia="Courier New" w:hAnsi="Courier New"/>
          <w:color w:val="1A1A1A"/>
          <w:sz w:val="18"/>
          <w:szCs w:val="18"/>
        </w:rPr>
        <w:t xml:space="preserve">    LokiDocument       Snapshot    { get; }</w:t>
      </w:r>
    </w:p>
    <w:p>
      <w:pPr>
        <w:shd w:color="F4F4F4" w:val="solid"/>
        <w:spacing w:after="40" w:before="40"/>
        <w:ind w:left="720"/>
      </w:pPr>
      <w:r>
        <w:rPr>
          <w:rFonts w:ascii="Courier New" w:cs="Courier New" w:eastAsia="Courier New" w:hAnsi="Courier New"/>
          <w:color w:val="1A1A1A"/>
          <w:sz w:val="18"/>
          <w:szCs w:val="18"/>
        </w:rPr>
        <w:t xml:space="preserve">    int                Version     { get; }  // increments on each mutation</w:t>
      </w:r>
    </w:p>
    <w:p>
      <w:pPr>
        <w:shd w:color="F4F4F4" w:val="solid"/>
        <w:spacing w:after="40" w:before="40"/>
        <w:ind w:left="720"/>
      </w:pPr>
      <w:r>
        <w:rPr>
          <w:rFonts w:ascii="Courier New" w:cs="Courier New" w:eastAsia="Courier New" w:hAnsi="Courier New"/>
          <w:color w:val="1A1A1A"/>
          <w:sz w:val="18"/>
          <w:szCs w:val="18"/>
        </w:rPr>
        <w:t xml:space="preserve">    bool               IsModified  { get; }</w:t>
      </w:r>
    </w:p>
    <w:p>
      <w:pPr>
        <w:shd w:color="F4F4F4" w:val="solid"/>
        <w:spacing w:after="40" w:before="40"/>
        <w:ind w:left="720"/>
      </w:pPr>
      <w:r>
        <w:rPr>
          <w:rFonts w:ascii="Courier New" w:cs="Courier New" w:eastAsia="Courier New" w:hAnsi="Courier New"/>
          <w:color w:val="1A1A1A"/>
          <w:sz w:val="18"/>
          <w:szCs w:val="18"/>
        </w:rPr>
        <w:t xml:space="preserve">}</w:t>
      </w:r>
    </w:p>
    <w:p>
      <w:pPr>
        <w:spacing w:after="80" w:before="80"/>
      </w:pPr>
      <w:r>
        <w:rPr>
          <w:rFonts w:ascii="Arial" w:cs="Arial" w:eastAsia="Arial" w:hAnsi="Arial"/>
          <w:sz w:val="22"/>
          <w:szCs w:val="22"/>
        </w:rPr>
        <w:t xml:space="preserve">When a command mutates the document, the engine produces a new LokiDocument via record with expressions, increments the version, and stores the new DocumentState. The layout engine receives the snapshot at a point in time — it never observes a mutation mid-layout.</w:t>
      </w:r>
    </w:p>
    <w:p>
      <w:pPr>
        <w:pBdr>
          <w:bottom w:val="single" w:color="CCCCCC" w:sz="6"/>
        </w:pBdr>
        <w:spacing w:after="160" w:before="160"/>
      </w:pPr>
      <w:r>
        <w:rPr>
          <w:rFonts w:ascii="Arial" w:cs="Arial" w:eastAsia="Arial" w:hAnsi="Arial"/>
          <w:sz w:val="4"/>
          <w:szCs w:val="4"/>
        </w:rPr>
        <w:t xml:space="preserve"/>
      </w:r>
    </w:p>
    <w:p>
      <w:pPr>
        <w:pStyle w:val="Heading2"/>
        <w:spacing w:after="120" w:before="240"/>
      </w:pPr>
      <w:r>
        <w:rPr>
          <w:rFonts w:ascii="Arial" w:cs="Arial" w:eastAsia="Arial" w:hAnsi="Arial"/>
          <w:b/>
          <w:bCs/>
          <w:color w:val="2E5090"/>
          <w:sz w:val="26"/>
          <w:szCs w:val="26"/>
        </w:rPr>
        <w:t xml:space="preserve">3. Rationale</w:t>
      </w:r>
    </w:p>
    <w:p>
      <w:pPr>
        <w:pStyle w:val="Heading3"/>
        <w:spacing w:after="80" w:before="180"/>
      </w:pPr>
      <w:r>
        <w:rPr>
          <w:rFonts w:ascii="Arial" w:cs="Arial" w:eastAsia="Arial" w:hAnsi="Arial"/>
          <w:b/>
          <w:bCs/>
          <w:color w:val="444444"/>
          <w:sz w:val="22"/>
          <w:szCs w:val="22"/>
        </w:rPr>
        <w:t xml:space="preserve">Why not use ODF types directly as the model?</w:t>
      </w:r>
    </w:p>
    <w:p>
      <w:pPr>
        <w:spacing w:after="80" w:before="80"/>
      </w:pPr>
      <w:r>
        <w:rPr>
          <w:rFonts w:ascii="Arial" w:cs="Arial" w:eastAsia="Arial" w:hAnsi="Arial"/>
          <w:sz w:val="22"/>
          <w:szCs w:val="22"/>
        </w:rPr>
        <w:t xml:space="preserve">ODF uses text:p / text:span with style references resolved lazily. Using ODF types directly would mean the layout engine imports AppThere.Loki.Format.Odf — a strict layering violation. It would also make OOXML import (Phase 4) require translating into ODF types, which is unnatural and error-prone.</w:t>
      </w:r>
    </w:p>
    <w:p>
      <w:pPr>
        <w:pStyle w:val="Heading3"/>
        <w:spacing w:after="80" w:before="180"/>
      </w:pPr>
      <w:r>
        <w:rPr>
          <w:rFonts w:ascii="Arial" w:cs="Arial" w:eastAsia="Arial" w:hAnsi="Arial"/>
          <w:b/>
          <w:bCs/>
          <w:color w:val="444444"/>
          <w:sz w:val="22"/>
          <w:szCs w:val="22"/>
        </w:rPr>
        <w:t xml:space="preserve">Why computed styles on each node rather than lazy resolution?</w:t>
      </w:r>
    </w:p>
    <w:p>
      <w:pPr>
        <w:spacing w:after="80" w:before="80"/>
      </w:pPr>
      <w:r>
        <w:rPr>
          <w:rFonts w:ascii="Arial" w:cs="Arial" w:eastAsia="Arial" w:hAnsi="Arial"/>
          <w:sz w:val="22"/>
          <w:szCs w:val="22"/>
        </w:rPr>
        <w:t xml:space="preserve">The layout engine runs on a background thread pool, potentially laying out multiple paragraphs concurrently. Lazy style resolution during layout would require thread-safe access to the StyleRegistry. Pre-computing styles at import time eliminates this complexity entirely. The memory cost is negligible — ParagraphStyle and CharacterStyle are small structs.</w:t>
      </w:r>
    </w:p>
    <w:p>
      <w:pPr>
        <w:pStyle w:val="Heading3"/>
        <w:spacing w:after="80" w:before="180"/>
      </w:pPr>
      <w:r>
        <w:rPr>
          <w:rFonts w:ascii="Arial" w:cs="Arial" w:eastAsia="Arial" w:hAnsi="Arial"/>
          <w:b/>
          <w:bCs/>
          <w:color w:val="444444"/>
          <w:sz w:val="22"/>
          <w:szCs w:val="22"/>
        </w:rPr>
        <w:t xml:space="preserve">Why immutable snapshots?</w:t>
      </w:r>
    </w:p>
    <w:p>
      <w:pPr>
        <w:spacing w:after="80" w:before="80"/>
      </w:pPr>
      <w:r>
        <w:rPr>
          <w:rFonts w:ascii="Arial" w:cs="Arial" w:eastAsia="Arial" w:hAnsi="Arial"/>
          <w:sz w:val="22"/>
          <w:szCs w:val="22"/>
        </w:rPr>
        <w:t xml:space="preserve">The tile renderer (Phase 1) is designed as a pure function of (PaintScene, TileRequest). Making the document model similarly immutable extends this property up the stack: layout is a pure function of (LokiDocument snapshot, page geometry) → PaintScene. This makes layout deterministic and testable, and means two layout runs on the same snapshot always produce identical output.</w:t>
      </w:r>
    </w:p>
    <w:p>
      <w:pPr>
        <w:pBdr>
          <w:bottom w:val="single" w:color="CCCCCC" w:sz="6"/>
        </w:pBdr>
        <w:spacing w:after="160" w:before="160"/>
      </w:pPr>
      <w:r>
        <w:rPr>
          <w:rFonts w:ascii="Arial" w:cs="Arial" w:eastAsia="Arial" w:hAnsi="Arial"/>
          <w:sz w:val="4"/>
          <w:szCs w:val="4"/>
        </w:rPr>
        <w:t xml:space="preserve"/>
      </w:r>
    </w:p>
    <w:p>
      <w:pPr>
        <w:pStyle w:val="Heading2"/>
        <w:spacing w:after="120" w:before="240"/>
      </w:pPr>
      <w:r>
        <w:rPr>
          <w:rFonts w:ascii="Arial" w:cs="Arial" w:eastAsia="Arial" w:hAnsi="Arial"/>
          <w:b/>
          <w:bCs/>
          <w:color w:val="2E5090"/>
          <w:sz w:val="26"/>
          <w:szCs w:val="26"/>
        </w:rPr>
        <w:t xml:space="preserve">4. Consequences</w:t>
      </w:r>
    </w:p>
    <w:p>
      <w:pPr>
        <w:pStyle w:val="ListParagraph"/>
        <w:numPr>
          <w:ilvl w:val="0"/>
          <w:numId w:val="1"/>
        </w:numPr>
        <w:spacing w:after="40" w:before="40"/>
      </w:pPr>
      <w:r>
        <w:rPr>
          <w:rFonts w:ascii="Arial" w:cs="Arial" w:eastAsia="Arial" w:hAnsi="Arial"/>
          <w:sz w:val="22"/>
          <w:szCs w:val="22"/>
        </w:rPr>
        <w:t xml:space="preserve">New project: AppThere.Loki.Writer — depends on LokiKit and Kernel only. No Skia dependency.</w:t>
      </w:r>
    </w:p>
    <w:p>
      <w:pPr>
        <w:pStyle w:val="ListParagraph"/>
        <w:numPr>
          <w:ilvl w:val="0"/>
          <w:numId w:val="1"/>
        </w:numPr>
        <w:spacing w:after="40" w:before="40"/>
      </w:pPr>
      <w:r>
        <w:rPr>
          <w:rFonts w:ascii="Arial" w:cs="Arial" w:eastAsia="Arial" w:hAnsi="Arial"/>
          <w:sz w:val="22"/>
          <w:szCs w:val="22"/>
        </w:rPr>
        <w:t xml:space="preserve">AppThere.Loki.Writer.Model namespace contains: LokiDocument, BlockNode hierarchy, InlineNode hierarchy, ParagraphStyle, CharacterStyle, StyleRegistry, StyleDef types, StyleResolver.</w:t>
      </w:r>
    </w:p>
    <w:p>
      <w:pPr>
        <w:pStyle w:val="ListParagraph"/>
        <w:numPr>
          <w:ilvl w:val="0"/>
          <w:numId w:val="1"/>
        </w:numPr>
        <w:spacing w:after="40" w:before="40"/>
      </w:pPr>
      <w:r>
        <w:rPr>
          <w:rFonts w:ascii="Arial" w:cs="Arial" w:eastAsia="Arial" w:hAnsi="Arial"/>
          <w:sz w:val="22"/>
          <w:szCs w:val="22"/>
        </w:rPr>
        <w:t xml:space="preserve">AppThere.Loki.Format.Odf project (also Phase 3) depends on AppThere.Loki.Writer and produces LokiDocument from ODT/FODT streams.</w:t>
      </w:r>
    </w:p>
    <w:p>
      <w:pPr>
        <w:pStyle w:val="ListParagraph"/>
        <w:numPr>
          <w:ilvl w:val="0"/>
          <w:numId w:val="1"/>
        </w:numPr>
        <w:spacing w:after="40" w:before="40"/>
      </w:pPr>
      <w:r>
        <w:rPr>
          <w:rFonts w:ascii="Arial" w:cs="Arial" w:eastAsia="Arial" w:hAnsi="Arial"/>
          <w:sz w:val="22"/>
          <w:szCs w:val="22"/>
        </w:rPr>
        <w:t xml:space="preserve">The layout engine (ADR-008) lives in AppThere.Loki.Writer.Layout and depends on AppThere.Loki.Writer.Model and AppThere.Loki.Skia.</w:t>
      </w:r>
    </w:p>
    <w:p>
      <w:pPr>
        <w:pStyle w:val="ListParagraph"/>
        <w:numPr>
          <w:ilvl w:val="0"/>
          <w:numId w:val="1"/>
        </w:numPr>
        <w:spacing w:after="40" w:before="40"/>
      </w:pPr>
      <w:r>
        <w:rPr>
          <w:rFonts w:ascii="Arial" w:cs="Arial" w:eastAsia="Arial" w:hAnsi="Arial"/>
          <w:sz w:val="22"/>
          <w:szCs w:val="22"/>
        </w:rPr>
        <w:t xml:space="preserve">Phase 4 OOXML import maps DOCX paragraph/run/style constructs into the same LokiDocument model with no model changes required.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2026-03-08T08:53:44.524Z</dcterms:created>
  <dcterms:modified xsi:type="dcterms:W3CDTF">2026-03-08T08:53:44.525Z</dcterms:modified>
</cp:coreProperties>
</file>

<file path=docProps/custom.xml><?xml version="1.0" encoding="utf-8"?>
<Properties xmlns="http://schemas.openxmlformats.org/officeDocument/2006/custom-properties" xmlns:vt="http://schemas.openxmlformats.org/officeDocument/2006/docPropsVTypes"/>
</file>