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94A3B8"/>
          <w:sz w:val="28"/>
          <w:szCs w:val="28"/>
        </w:rPr>
        <w:t xml:space="preserve">ADR-003  </w:t>
      </w:r>
      <w:r>
        <w:rPr>
          <w:rFonts w:ascii="Calibri" w:cs="Calibri" w:eastAsia="Calibri" w:hAnsi="Calibri"/>
          <w:b/>
          <w:bCs/>
          <w:color w:val="1B2A4A"/>
          <w:sz w:val="42"/>
          <w:szCs w:val="42"/>
        </w:rPr>
        <w:t xml:space="preserve">PaintScene Immutability &amp; Serialisation</w:t>
      </w:r>
    </w:p>
    <w:p>
      <w:pPr>
        <w:spacing w:after="320" w:before="0"/>
      </w:pPr>
      <w:r>
        <w:rPr>
          <w:rFonts w:ascii="Calibri" w:cs="Calibri" w:eastAsia="Calibri" w:hAnsi="Calibri"/>
          <w:i/>
          <w:iCs/>
          <w:color w:val="334155"/>
          <w:sz w:val="23"/>
          <w:szCs w:val="23"/>
        </w:rPr>
        <w:t xml:space="preserve">Design contract for the layout→renderer intermediate representation  ·  AppThere.Loki.Skia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1"/>
              <w:left w:val="single" w:color="166534" w:sz="1"/>
              <w:bottom w:val="single" w:color="166534" w:sz="1"/>
              <w:right w:val="single" w:color="166534" w:sz="1"/>
            </w:tcBorders>
            <w:shd w:fill="DCFCE7" w:val="clear"/>
            <w:tcMar>
              <w:top w:type="dxa" w:w="160"/>
              <w:left w:type="dxa" w:w="240"/>
              <w:bottom w:type="dxa" w:w="160"/>
              <w:right w:type="dxa" w:w="240"/>
            </w:tcMar>
          </w:tcPr>
          <w:p>
            <w:pPr>
              <w:spacing w:after="80"/>
            </w:pPr>
            <w:r>
              <w:rPr>
                <w:rFonts w:ascii="Calibri" w:cs="Calibri" w:eastAsia="Calibri" w:hAnsi="Calibri"/>
                <w:b/>
                <w:bCs/>
                <w:color w:val="166534"/>
                <w:sz w:val="24"/>
                <w:szCs w:val="24"/>
              </w:rPr>
              <w:t xml:space="preserve">STATUS  </w:t>
            </w:r>
            <w:r>
              <w:rPr>
                <w:rFonts w:ascii="Calibri" w:cs="Calibri" w:eastAsia="Calibri" w:hAnsi="Calibri"/>
                <w:b/>
                <w:bCs/>
                <w:color w:val="166534"/>
                <w:sz w:val="24"/>
                <w:szCs w:val="24"/>
              </w:rPr>
              <w:t xml:space="preserve">Accepted</w:t>
            </w:r>
          </w:p>
          <w:p>
            <w:pPr>
              <w:spacing w:after="40" w:before="0"/>
            </w:pPr>
            <w:r>
              <w:rPr>
                <w:rFonts w:ascii="Calibri" w:cs="Calibri" w:eastAsia="Calibri" w:hAnsi="Calibri"/>
                <w:b/>
                <w:bCs/>
                <w:color w:val="334155"/>
                <w:sz w:val="20"/>
                <w:szCs w:val="20"/>
              </w:rPr>
              <w:t xml:space="preserve">Date: </w:t>
            </w:r>
            <w:r>
              <w:rPr>
                <w:rFonts w:ascii="Calibri" w:cs="Calibri" w:eastAsia="Calibri" w:hAnsi="Calibri"/>
                <w:color w:val="0F172A"/>
                <w:sz w:val="20"/>
                <w:szCs w:val="20"/>
              </w:rPr>
              <w:t xml:space="preserve">2025</w:t>
            </w:r>
          </w:p>
          <w:p>
            <w:pPr>
              <w:spacing w:after="0" w:before="0"/>
            </w:pPr>
            <w:r>
              <w:rPr>
                <w:rFonts w:ascii="Calibri" w:cs="Calibri" w:eastAsia="Calibri" w:hAnsi="Calibri"/>
                <w:b/>
                <w:bCs/>
                <w:color w:val="334155"/>
                <w:sz w:val="20"/>
                <w:szCs w:val="20"/>
              </w:rPr>
              <w:t xml:space="preserve">Deciders: </w:t>
            </w:r>
            <w:r>
              <w:rPr>
                <w:rFonts w:ascii="Calibri" w:cs="Calibri" w:eastAsia="Calibri" w:hAnsi="Calibri"/>
                <w:color w:val="0F172A"/>
                <w:sz w:val="20"/>
                <w:szCs w:val="20"/>
              </w:rPr>
              <w:t xml:space="preserve">AppThere Core Team</w:t>
            </w:r>
          </w:p>
        </w:tc>
      </w:tr>
    </w:tbl>
    <w:p>
      <w:pPr>
        <w:spacing w:after="165" w:before="0"/>
      </w:pPr>
      <w:r>
        <w:t xml:space="preserve"/>
      </w:r>
    </w:p>
    <w:p>
      <w:pPr>
        <w:pStyle w:val="Heading1"/>
        <w:spacing w:after="140" w:before="360"/>
      </w:pPr>
      <w:bookmarkStart w:name="context" w:id="1"/>
      <w:r>
        <w:rPr>
          <w:rFonts w:ascii="Calibri" w:cs="Calibri" w:eastAsia="Calibri" w:hAnsi="Calibri"/>
          <w:b/>
          <w:bCs/>
          <w:color w:val="1B2A4A"/>
          <w:sz w:val="34"/>
          <w:szCs w:val="34"/>
        </w:rPr>
        <w:t xml:space="preserve">1. Context and Problem Statement</w:t>
      </w:r>
      <w:bookmarkEnd w:id="1"/>
    </w:p>
    <w:p>
      <w:pPr>
        <w:spacing w:after="100" w:before="60"/>
      </w:pPr>
      <w:r>
        <w:rPr>
          <w:rFonts w:ascii="Calibri" w:cs="Calibri" w:eastAsia="Calibri" w:hAnsi="Calibri"/>
          <w:color w:val="0F172A"/>
          <w:sz w:val="22"/>
          <w:szCs w:val="22"/>
        </w:rPr>
        <w:t xml:space="preserve">The PaintScene is the intermediate representation (IR) that sits between the document layout engine and the Skia tile renderer. Every time a document page needs to be rendered — whether to the screen, to PDF, or to a headless bitmap — the layout engine produces a PaintScene and hands it to the TileRenderer.</w:t>
      </w:r>
    </w:p>
    <w:p>
      <w:pPr>
        <w:spacing w:after="110" w:before="0"/>
      </w:pPr>
      <w:r>
        <w:t xml:space="preserve"/>
      </w:r>
    </w:p>
    <w:p>
      <w:pPr>
        <w:spacing w:after="100" w:before="60"/>
      </w:pPr>
      <w:r>
        <w:rPr>
          <w:rFonts w:ascii="Calibri" w:cs="Calibri" w:eastAsia="Calibri" w:hAnsi="Calibri"/>
          <w:color w:val="0F172A"/>
          <w:sz w:val="22"/>
          <w:szCs w:val="22"/>
        </w:rPr>
        <w:t xml:space="preserve">This IR is the most important API boundary in the rendering stack. Getting its design wrong has cascading consequences:</w:t>
      </w:r>
    </w:p>
    <w:p>
      <w:pPr>
        <w:spacing w:after="110" w:before="0"/>
      </w:pPr>
      <w:r>
        <w:t xml:space="preserve"/>
      </w:r>
    </w:p>
    <w:p>
      <w:pPr>
        <w:pStyle w:val="ListParagraph"/>
        <w:numPr>
          <w:ilvl w:val="0"/>
          <w:numId w:val="2"/>
        </w:numPr>
        <w:spacing w:after="40" w:before="40"/>
      </w:pPr>
      <w:r>
        <w:rPr>
          <w:rFonts w:ascii="Calibri" w:cs="Calibri" w:eastAsia="Calibri" w:hAnsi="Calibri"/>
          <w:color w:val="0F172A"/>
          <w:sz w:val="22"/>
          <w:szCs w:val="22"/>
        </w:rPr>
        <w:t xml:space="preserve">If it is mutable, the renderer cannot safely share it across threads, breaking parallel tile rendering.</w:t>
      </w:r>
    </w:p>
    <w:p>
      <w:pPr>
        <w:pStyle w:val="ListParagraph"/>
        <w:numPr>
          <w:ilvl w:val="0"/>
          <w:numId w:val="2"/>
        </w:numPr>
        <w:spacing w:after="40" w:before="40"/>
      </w:pPr>
      <w:r>
        <w:rPr>
          <w:rFonts w:ascii="Calibri" w:cs="Calibri" w:eastAsia="Calibri" w:hAnsi="Calibri"/>
          <w:color w:val="0F172A"/>
          <w:sz w:val="22"/>
          <w:szCs w:val="22"/>
        </w:rPr>
        <w:t xml:space="preserve">If it is not serialisable, it cannot be cached to disk, tested with golden files, or used in a future out-of-process rendering server.</w:t>
      </w:r>
    </w:p>
    <w:p>
      <w:pPr>
        <w:pStyle w:val="ListParagraph"/>
        <w:numPr>
          <w:ilvl w:val="0"/>
          <w:numId w:val="2"/>
        </w:numPr>
        <w:spacing w:after="40" w:before="40"/>
      </w:pPr>
      <w:r>
        <w:rPr>
          <w:rFonts w:ascii="Calibri" w:cs="Calibri" w:eastAsia="Calibri" w:hAnsi="Calibri"/>
          <w:color w:val="0F172A"/>
          <w:sz w:val="22"/>
          <w:szCs w:val="22"/>
        </w:rPr>
        <w:t xml:space="preserve">If it couples the layout engine's internal types to the renderer, changes to either break the other — violating the layered architecture.</w:t>
      </w:r>
    </w:p>
    <w:p>
      <w:pPr>
        <w:pStyle w:val="ListParagraph"/>
        <w:numPr>
          <w:ilvl w:val="0"/>
          <w:numId w:val="2"/>
        </w:numPr>
        <w:spacing w:after="40" w:before="40"/>
      </w:pPr>
      <w:r>
        <w:rPr>
          <w:rFonts w:ascii="Calibri" w:cs="Calibri" w:eastAsia="Calibri" w:hAnsi="Calibri"/>
          <w:color w:val="0F172A"/>
          <w:sz w:val="22"/>
          <w:szCs w:val="22"/>
        </w:rPr>
        <w:t xml:space="preserve">If it is too coarse (one node per page), partial re-renders and incremental invalidation are impossible.</w:t>
      </w:r>
    </w:p>
    <w:p>
      <w:pPr>
        <w:pStyle w:val="ListParagraph"/>
        <w:numPr>
          <w:ilvl w:val="0"/>
          <w:numId w:val="2"/>
        </w:numPr>
        <w:spacing w:after="40" w:before="40"/>
      </w:pPr>
      <w:r>
        <w:rPr>
          <w:rFonts w:ascii="Calibri" w:cs="Calibri" w:eastAsia="Calibri" w:hAnsi="Calibri"/>
          <w:color w:val="0F172A"/>
          <w:sz w:val="22"/>
          <w:szCs w:val="22"/>
        </w:rPr>
        <w:t xml:space="preserve">If it is too fine (one node per glyph), tree construction and traversal overhead dominates rendering time.</w:t>
      </w:r>
    </w:p>
    <w:p>
      <w:pPr>
        <w:spacing w:after="110" w:before="0"/>
      </w:pPr>
      <w:r>
        <w:t xml:space="preserve"/>
      </w:r>
    </w:p>
    <w:p>
      <w:pPr>
        <w:spacing w:after="100" w:before="60"/>
      </w:pPr>
      <w:r>
        <w:rPr>
          <w:rFonts w:ascii="Calibri" w:cs="Calibri" w:eastAsia="Calibri" w:hAnsi="Calibri"/>
          <w:color w:val="0F172A"/>
          <w:sz w:val="22"/>
          <w:szCs w:val="22"/>
        </w:rPr>
        <w:t xml:space="preserve">This ADR defines the PaintScene's structure, immutability contract, granularity model, and serialisation format, and explains why these choices were made.</w:t>
      </w:r>
    </w:p>
    <w:p>
      <w:pPr>
        <w:spacing w:after="110" w:before="0"/>
      </w:pPr>
      <w:r>
        <w:t xml:space="preserve"/>
      </w:r>
    </w:p>
    <w:p>
      <w:pPr>
        <w:pStyle w:val="Heading1"/>
        <w:spacing w:after="140" w:before="360"/>
      </w:pPr>
      <w:bookmarkStart w:name="decision" w:id="1"/>
      <w:r>
        <w:rPr>
          <w:rFonts w:ascii="Calibri" w:cs="Calibri" w:eastAsia="Calibri" w:hAnsi="Calibri"/>
          <w:b/>
          <w:bCs/>
          <w:color w:val="1B2A4A"/>
          <w:sz w:val="34"/>
          <w:szCs w:val="34"/>
        </w:rPr>
        <w:t xml:space="preserve">2. Decision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Decision Summary</w:t>
            </w:r>
          </w:p>
          <w:p>
            <w:pPr>
              <w:spacing w:after="36" w:before="0"/>
            </w:pPr>
            <w:r>
              <w:rPr>
                <w:rFonts w:ascii="Calibri" w:cs="Calibri" w:eastAsia="Calibri" w:hAnsi="Calibri"/>
                <w:color w:val="0F172A"/>
                <w:sz w:val="21"/>
                <w:szCs w:val="21"/>
              </w:rPr>
              <w:t xml:space="preserve">PaintScene is a sealed, immutable, recursive tree of C# sealed record types.</w:t>
            </w:r>
          </w:p>
          <w:p>
            <w:pPr>
              <w:spacing w:after="36" w:before="0"/>
            </w:pPr>
            <w:r>
              <w:rPr>
                <w:rFonts w:ascii="Calibri" w:cs="Calibri" w:eastAsia="Calibri" w:hAnsi="Calibri"/>
                <w:color w:val="0F172A"/>
                <w:sz w:val="21"/>
                <w:szCs w:val="21"/>
              </w:rPr>
              <w:t xml:space="preserve">Once constructed by the layout engine, it is never modified. All nodes are value-typed</w:t>
            </w:r>
          </w:p>
          <w:p>
            <w:pPr>
              <w:spacing w:after="36" w:before="0"/>
            </w:pPr>
            <w:r>
              <w:rPr>
                <w:rFonts w:ascii="Calibri" w:cs="Calibri" w:eastAsia="Calibri" w:hAnsi="Calibri"/>
                <w:color w:val="0F172A"/>
                <w:sz w:val="21"/>
                <w:szCs w:val="21"/>
              </w:rPr>
              <w:t xml:space="preserve">records; mutable reference types (e.g. byte arrays for image data) are wrapped in</w:t>
            </w:r>
          </w:p>
          <w:p>
            <w:pPr>
              <w:spacing w:after="36" w:before="0"/>
            </w:pPr>
            <w:r>
              <w:rPr>
                <w:rFonts w:ascii="Calibri" w:cs="Calibri" w:eastAsia="Calibri" w:hAnsi="Calibri"/>
                <w:color w:val="0F172A"/>
                <w:sz w:val="21"/>
                <w:szCs w:val="21"/>
              </w:rPr>
              <w:t xml:space="preserve">ReadOnlyMemory&lt;byte&gt; or replaced with a content-addressed ImageRef handle.</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Serialisation uses System.Text.Json with a source-generated converter.</w:t>
            </w:r>
          </w:p>
          <w:p>
            <w:pPr>
              <w:spacing w:after="36" w:before="0"/>
            </w:pPr>
            <w:r>
              <w:rPr>
                <w:rFonts w:ascii="Calibri" w:cs="Calibri" w:eastAsia="Calibri" w:hAnsi="Calibri"/>
                <w:color w:val="0F172A"/>
                <w:sz w:val="21"/>
                <w:szCs w:val="21"/>
              </w:rPr>
              <w:t xml:space="preserve">Binary serialisation (MessagePack) is available as an optional fast path for the</w:t>
            </w:r>
          </w:p>
          <w:p>
            <w:pPr>
              <w:spacing w:after="36" w:before="0"/>
            </w:pPr>
            <w:r>
              <w:rPr>
                <w:rFonts w:ascii="Calibri" w:cs="Calibri" w:eastAsia="Calibri" w:hAnsi="Calibri"/>
                <w:color w:val="0F172A"/>
                <w:sz w:val="21"/>
                <w:szCs w:val="21"/>
              </w:rPr>
              <w:t xml:space="preserve">tile render cache but is not required for correctness.</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The tree is partitioned into Bands — horizontal strips of a document part — enabling</w:t>
            </w:r>
          </w:p>
          <w:p>
            <w:pPr>
              <w:spacing w:after="36" w:before="0"/>
            </w:pPr>
            <w:r>
              <w:rPr>
                <w:rFonts w:ascii="Calibri" w:cs="Calibri" w:eastAsia="Calibri" w:hAnsi="Calibri"/>
                <w:color w:val="0F172A"/>
                <w:sz w:val="21"/>
                <w:szCs w:val="21"/>
              </w:rPr>
              <w:t xml:space="preserve">partial invalidation without re-running the full layout pass.</w:t>
            </w:r>
          </w:p>
        </w:tc>
      </w:tr>
    </w:tbl>
    <w:p>
      <w:pPr>
        <w:spacing w:after="110" w:before="0"/>
      </w:pPr>
      <w:r>
        <w:t xml:space="preserve"/>
      </w:r>
    </w:p>
    <w:p>
      <w:pPr>
        <w:pStyle w:val="Heading1"/>
        <w:spacing w:after="140" w:before="360"/>
      </w:pPr>
      <w:bookmarkStart w:name="hierarchy" w:id="1"/>
      <w:r>
        <w:rPr>
          <w:rFonts w:ascii="Calibri" w:cs="Calibri" w:eastAsia="Calibri" w:hAnsi="Calibri"/>
          <w:b/>
          <w:bCs/>
          <w:color w:val="1B2A4A"/>
          <w:sz w:val="34"/>
          <w:szCs w:val="34"/>
        </w:rPr>
        <w:t xml:space="preserve">3. PaintNode Type Hierarchy</w:t>
      </w:r>
      <w:bookmarkEnd w:id="1"/>
    </w:p>
    <w:p>
      <w:pPr>
        <w:spacing w:after="100" w:before="60"/>
      </w:pPr>
      <w:r>
        <w:rPr>
          <w:rFonts w:ascii="Calibri" w:cs="Calibri" w:eastAsia="Calibri" w:hAnsi="Calibri"/>
          <w:color w:val="0F172A"/>
          <w:sz w:val="22"/>
          <w:szCs w:val="22"/>
        </w:rPr>
        <w:t xml:space="preserve">All nodes are sealed C# records. Sealed prevents subclassing outside the assembly; record provides structural equality, with-expression cloning, and deconstruction for free.</w:t>
      </w:r>
    </w:p>
    <w:p>
      <w:pPr>
        <w:spacing w:after="110" w:before="0"/>
      </w:pPr>
      <w:r>
        <w:t xml:space="preserve"/>
      </w:r>
    </w:p>
    <w:p>
      <w:pPr>
        <w:pStyle w:val="Heading2"/>
        <w:spacing w:after="100" w:before="280"/>
      </w:pPr>
      <w:bookmarkStart w:name="roots" w:id="1"/>
      <w:r>
        <w:rPr>
          <w:rFonts w:ascii="Calibri" w:cs="Calibri" w:eastAsia="Calibri" w:hAnsi="Calibri"/>
          <w:b/>
          <w:bCs/>
          <w:color w:val="2563EB"/>
          <w:sz w:val="26"/>
          <w:szCs w:val="26"/>
        </w:rPr>
        <w:t xml:space="preserve">3.1 Root Types</w:t>
      </w:r>
      <w:bookmarkEnd w:id="1"/>
    </w:p>
    <w:p>
      <w:pPr>
        <w:spacing w:after="26" w:before="26"/>
        <w:ind w:left="560"/>
      </w:pPr>
      <w:r>
        <w:rPr>
          <w:rFonts w:ascii="Courier New" w:cs="Courier New" w:eastAsia="Courier New" w:hAnsi="Courier New"/>
          <w:color w:val="7C3AED"/>
          <w:sz w:val="19"/>
          <w:szCs w:val="19"/>
        </w:rPr>
        <w:t xml:space="preserve">// The complete scene for one document part (page, sheet, slide, drawing).</w:t>
      </w:r>
    </w:p>
    <w:p>
      <w:pPr>
        <w:spacing w:after="26" w:before="26"/>
        <w:ind w:left="560"/>
      </w:pPr>
      <w:r>
        <w:rPr>
          <w:rFonts w:ascii="Courier New" w:cs="Courier New" w:eastAsia="Courier New" w:hAnsi="Courier New"/>
          <w:color w:val="7C3AED"/>
          <w:sz w:val="19"/>
          <w:szCs w:val="19"/>
        </w:rPr>
        <w:t xml:space="preserve">public sealed record PaintScene(</w:t>
      </w:r>
    </w:p>
    <w:p>
      <w:pPr>
        <w:spacing w:after="26" w:before="26"/>
        <w:ind w:left="560"/>
      </w:pPr>
      <w:r>
        <w:rPr>
          <w:rFonts w:ascii="Courier New" w:cs="Courier New" w:eastAsia="Courier New" w:hAnsi="Courier New"/>
          <w:color w:val="7C3AED"/>
          <w:sz w:val="19"/>
          <w:szCs w:val="19"/>
        </w:rPr>
        <w:t xml:space="preserve">    int           PartIndex,</w:t>
      </w:r>
    </w:p>
    <w:p>
      <w:pPr>
        <w:spacing w:after="26" w:before="26"/>
        <w:ind w:left="560"/>
      </w:pPr>
      <w:r>
        <w:rPr>
          <w:rFonts w:ascii="Courier New" w:cs="Courier New" w:eastAsia="Courier New" w:hAnsi="Courier New"/>
          <w:color w:val="7C3AED"/>
          <w:sz w:val="19"/>
          <w:szCs w:val="19"/>
        </w:rPr>
        <w:t xml:space="preserve">    SizeF         SizeInPoints,   // logical dimensions of the part</w:t>
      </w:r>
    </w:p>
    <w:p>
      <w:pPr>
        <w:spacing w:after="26" w:before="26"/>
        <w:ind w:left="560"/>
      </w:pPr>
      <w:r>
        <w:rPr>
          <w:rFonts w:ascii="Courier New" w:cs="Courier New" w:eastAsia="Courier New" w:hAnsi="Courier New"/>
          <w:color w:val="7C3AED"/>
          <w:sz w:val="19"/>
          <w:szCs w:val="19"/>
        </w:rPr>
        <w:t xml:space="preserve">    float         DpiBase,         // always 96.0f; scale applied per-tile</w:t>
      </w:r>
    </w:p>
    <w:p>
      <w:pPr>
        <w:spacing w:after="26" w:before="26"/>
        <w:ind w:left="560"/>
      </w:pPr>
      <w:r>
        <w:rPr>
          <w:rFonts w:ascii="Courier New" w:cs="Courier New" w:eastAsia="Courier New" w:hAnsi="Courier New"/>
          <w:color w:val="7C3AED"/>
          <w:sz w:val="19"/>
          <w:szCs w:val="19"/>
        </w:rPr>
        <w:t xml:space="preserve">    ImmutableArray&lt;PaintBand&gt; Bands);</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 A horizontal band of the document — the unit of partial invalidation.</w:t>
      </w:r>
    </w:p>
    <w:p>
      <w:pPr>
        <w:spacing w:after="26" w:before="26"/>
        <w:ind w:left="560"/>
      </w:pPr>
      <w:r>
        <w:rPr>
          <w:rFonts w:ascii="Courier New" w:cs="Courier New" w:eastAsia="Courier New" w:hAnsi="Courier New"/>
          <w:color w:val="7C3AED"/>
          <w:sz w:val="19"/>
          <w:szCs w:val="19"/>
        </w:rPr>
        <w:t xml:space="preserve">// A band spans [YStart, YStart + Height) in logical points.</w:t>
      </w:r>
    </w:p>
    <w:p>
      <w:pPr>
        <w:spacing w:after="26" w:before="26"/>
        <w:ind w:left="560"/>
      </w:pPr>
      <w:r>
        <w:rPr>
          <w:rFonts w:ascii="Courier New" w:cs="Courier New" w:eastAsia="Courier New" w:hAnsi="Courier New"/>
          <w:color w:val="7C3AED"/>
          <w:sz w:val="19"/>
          <w:szCs w:val="19"/>
        </w:rPr>
        <w:t xml:space="preserve">public sealed record PaintBand(</w:t>
      </w:r>
    </w:p>
    <w:p>
      <w:pPr>
        <w:spacing w:after="26" w:before="26"/>
        <w:ind w:left="560"/>
      </w:pPr>
      <w:r>
        <w:rPr>
          <w:rFonts w:ascii="Courier New" w:cs="Courier New" w:eastAsia="Courier New" w:hAnsi="Courier New"/>
          <w:color w:val="7C3AED"/>
          <w:sz w:val="19"/>
          <w:szCs w:val="19"/>
        </w:rPr>
        <w:t xml:space="preserve">    float                    YStart,</w:t>
      </w:r>
    </w:p>
    <w:p>
      <w:pPr>
        <w:spacing w:after="26" w:before="26"/>
        <w:ind w:left="560"/>
      </w:pPr>
      <w:r>
        <w:rPr>
          <w:rFonts w:ascii="Courier New" w:cs="Courier New" w:eastAsia="Courier New" w:hAnsi="Courier New"/>
          <w:color w:val="7C3AED"/>
          <w:sz w:val="19"/>
          <w:szCs w:val="19"/>
        </w:rPr>
        <w:t xml:space="preserve">    float                    Height,</w:t>
      </w:r>
    </w:p>
    <w:p>
      <w:pPr>
        <w:spacing w:after="26" w:before="26"/>
        <w:ind w:left="560"/>
      </w:pPr>
      <w:r>
        <w:rPr>
          <w:rFonts w:ascii="Courier New" w:cs="Courier New" w:eastAsia="Courier New" w:hAnsi="Courier New"/>
          <w:color w:val="7C3AED"/>
          <w:sz w:val="19"/>
          <w:szCs w:val="19"/>
        </w:rPr>
        <w:t xml:space="preserve">    ImmutableArray&lt;PaintNode&gt; Nodes,</w:t>
      </w:r>
    </w:p>
    <w:p>
      <w:pPr>
        <w:spacing w:after="26" w:before="26"/>
        <w:ind w:left="560"/>
      </w:pPr>
      <w:r>
        <w:rPr>
          <w:rFonts w:ascii="Courier New" w:cs="Courier New" w:eastAsia="Courier New" w:hAnsi="Courier New"/>
          <w:color w:val="7C3AED"/>
          <w:sz w:val="19"/>
          <w:szCs w:val="19"/>
        </w:rPr>
        <w:t xml:space="preserve">    long                     LayoutVersion); // increments on each re-layout</w:t>
      </w:r>
    </w:p>
    <w:p>
      <w:pPr>
        <w:spacing w:after="110" w:before="0"/>
      </w:pPr>
      <w:r>
        <w:t xml:space="preserve"/>
      </w:r>
    </w:p>
    <w:p>
      <w:pPr>
        <w:pStyle w:val="Heading2"/>
        <w:spacing w:after="100" w:before="280"/>
      </w:pPr>
      <w:bookmarkStart w:name="nodes" w:id="1"/>
      <w:r>
        <w:rPr>
          <w:rFonts w:ascii="Calibri" w:cs="Calibri" w:eastAsia="Calibri" w:hAnsi="Calibri"/>
          <w:b/>
          <w:bCs/>
          <w:color w:val="2563EB"/>
          <w:sz w:val="26"/>
          <w:szCs w:val="26"/>
        </w:rPr>
        <w:t xml:space="preserve">3.2 PaintNode Union</w:t>
      </w:r>
      <w:bookmarkEnd w:id="1"/>
    </w:p>
    <w:p>
      <w:pPr>
        <w:spacing w:after="26" w:before="26"/>
        <w:ind w:left="560"/>
      </w:pPr>
      <w:r>
        <w:rPr>
          <w:rFonts w:ascii="Courier New" w:cs="Courier New" w:eastAsia="Courier New" w:hAnsi="Courier New"/>
          <w:color w:val="7C3AED"/>
          <w:sz w:val="19"/>
          <w:szCs w:val="19"/>
        </w:rPr>
        <w:t xml:space="preserve">// Base type — never instantiated directly.</w:t>
      </w:r>
    </w:p>
    <w:p>
      <w:pPr>
        <w:spacing w:after="26" w:before="26"/>
        <w:ind w:left="560"/>
      </w:pPr>
      <w:r>
        <w:rPr>
          <w:rFonts w:ascii="Courier New" w:cs="Courier New" w:eastAsia="Courier New" w:hAnsi="Courier New"/>
          <w:color w:val="7C3AED"/>
          <w:sz w:val="19"/>
          <w:szCs w:val="19"/>
        </w:rPr>
        <w:t xml:space="preserve">public abstract record PaintNode(RectF Bounds);</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 ── Geometry ────────────────────────────────────────────────────</w:t>
      </w:r>
    </w:p>
    <w:p>
      <w:pPr>
        <w:spacing w:after="26" w:before="26"/>
        <w:ind w:left="560"/>
      </w:pPr>
      <w:r>
        <w:rPr>
          <w:rFonts w:ascii="Courier New" w:cs="Courier New" w:eastAsia="Courier New" w:hAnsi="Courier New"/>
          <w:color w:val="7C3AED"/>
          <w:sz w:val="19"/>
          <w:szCs w:val="19"/>
        </w:rPr>
        <w:t xml:space="preserve">public sealed record RectNode(</w:t>
      </w:r>
    </w:p>
    <w:p>
      <w:pPr>
        <w:spacing w:after="26" w:before="26"/>
        <w:ind w:left="560"/>
      </w:pPr>
      <w:r>
        <w:rPr>
          <w:rFonts w:ascii="Courier New" w:cs="Courier New" w:eastAsia="Courier New" w:hAnsi="Courier New"/>
          <w:color w:val="7C3AED"/>
          <w:sz w:val="19"/>
          <w:szCs w:val="19"/>
        </w:rPr>
        <w:t xml:space="preserve">    RectF      Bounds,</w:t>
      </w:r>
    </w:p>
    <w:p>
      <w:pPr>
        <w:spacing w:after="26" w:before="26"/>
        <w:ind w:left="560"/>
      </w:pPr>
      <w:r>
        <w:rPr>
          <w:rFonts w:ascii="Courier New" w:cs="Courier New" w:eastAsia="Courier New" w:hAnsi="Courier New"/>
          <w:color w:val="7C3AED"/>
          <w:sz w:val="19"/>
          <w:szCs w:val="19"/>
        </w:rPr>
        <w:t xml:space="preserve">    PaintStyle Fill,</w:t>
      </w:r>
    </w:p>
    <w:p>
      <w:pPr>
        <w:spacing w:after="26" w:before="26"/>
        <w:ind w:left="560"/>
      </w:pPr>
      <w:r>
        <w:rPr>
          <w:rFonts w:ascii="Courier New" w:cs="Courier New" w:eastAsia="Courier New" w:hAnsi="Courier New"/>
          <w:color w:val="7C3AED"/>
          <w:sz w:val="19"/>
          <w:szCs w:val="19"/>
        </w:rPr>
        <w:t xml:space="preserve">    PaintStyle Stroke) : PaintNode(Bounds);</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public sealed record RoundRectNode(</w:t>
      </w:r>
    </w:p>
    <w:p>
      <w:pPr>
        <w:spacing w:after="26" w:before="26"/>
        <w:ind w:left="560"/>
      </w:pPr>
      <w:r>
        <w:rPr>
          <w:rFonts w:ascii="Courier New" w:cs="Courier New" w:eastAsia="Courier New" w:hAnsi="Courier New"/>
          <w:color w:val="7C3AED"/>
          <w:sz w:val="19"/>
          <w:szCs w:val="19"/>
        </w:rPr>
        <w:t xml:space="preserve">    RectF      Bounds,</w:t>
      </w:r>
    </w:p>
    <w:p>
      <w:pPr>
        <w:spacing w:after="26" w:before="26"/>
        <w:ind w:left="560"/>
      </w:pPr>
      <w:r>
        <w:rPr>
          <w:rFonts w:ascii="Courier New" w:cs="Courier New" w:eastAsia="Courier New" w:hAnsi="Courier New"/>
          <w:color w:val="7C3AED"/>
          <w:sz w:val="19"/>
          <w:szCs w:val="19"/>
        </w:rPr>
        <w:t xml:space="preserve">    float      RadiusX,</w:t>
      </w:r>
    </w:p>
    <w:p>
      <w:pPr>
        <w:spacing w:after="26" w:before="26"/>
        <w:ind w:left="560"/>
      </w:pPr>
      <w:r>
        <w:rPr>
          <w:rFonts w:ascii="Courier New" w:cs="Courier New" w:eastAsia="Courier New" w:hAnsi="Courier New"/>
          <w:color w:val="7C3AED"/>
          <w:sz w:val="19"/>
          <w:szCs w:val="19"/>
        </w:rPr>
        <w:t xml:space="preserve">    float      RadiusY,</w:t>
      </w:r>
    </w:p>
    <w:p>
      <w:pPr>
        <w:spacing w:after="26" w:before="26"/>
        <w:ind w:left="560"/>
      </w:pPr>
      <w:r>
        <w:rPr>
          <w:rFonts w:ascii="Courier New" w:cs="Courier New" w:eastAsia="Courier New" w:hAnsi="Courier New"/>
          <w:color w:val="7C3AED"/>
          <w:sz w:val="19"/>
          <w:szCs w:val="19"/>
        </w:rPr>
        <w:t xml:space="preserve">    PaintStyle Fill,</w:t>
      </w:r>
    </w:p>
    <w:p>
      <w:pPr>
        <w:spacing w:after="26" w:before="26"/>
        <w:ind w:left="560"/>
      </w:pPr>
      <w:r>
        <w:rPr>
          <w:rFonts w:ascii="Courier New" w:cs="Courier New" w:eastAsia="Courier New" w:hAnsi="Courier New"/>
          <w:color w:val="7C3AED"/>
          <w:sz w:val="19"/>
          <w:szCs w:val="19"/>
        </w:rPr>
        <w:t xml:space="preserve">    PaintStyle Stroke) : PaintNode(Bounds);</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public sealed record PathNode(</w:t>
      </w:r>
    </w:p>
    <w:p>
      <w:pPr>
        <w:spacing w:after="26" w:before="26"/>
        <w:ind w:left="560"/>
      </w:pPr>
      <w:r>
        <w:rPr>
          <w:rFonts w:ascii="Courier New" w:cs="Courier New" w:eastAsia="Courier New" w:hAnsi="Courier New"/>
          <w:color w:val="7C3AED"/>
          <w:sz w:val="19"/>
          <w:szCs w:val="19"/>
        </w:rPr>
        <w:t xml:space="preserve">    RectF      Bounds,</w:t>
      </w:r>
    </w:p>
    <w:p>
      <w:pPr>
        <w:spacing w:after="26" w:before="26"/>
        <w:ind w:left="560"/>
      </w:pPr>
      <w:r>
        <w:rPr>
          <w:rFonts w:ascii="Courier New" w:cs="Courier New" w:eastAsia="Courier New" w:hAnsi="Courier New"/>
          <w:color w:val="7C3AED"/>
          <w:sz w:val="19"/>
          <w:szCs w:val="19"/>
        </w:rPr>
        <w:t xml:space="preserve">    LokiPath   Path,      // immutable; see §3.4</w:t>
      </w:r>
    </w:p>
    <w:p>
      <w:pPr>
        <w:spacing w:after="26" w:before="26"/>
        <w:ind w:left="560"/>
      </w:pPr>
      <w:r>
        <w:rPr>
          <w:rFonts w:ascii="Courier New" w:cs="Courier New" w:eastAsia="Courier New" w:hAnsi="Courier New"/>
          <w:color w:val="7C3AED"/>
          <w:sz w:val="19"/>
          <w:szCs w:val="19"/>
        </w:rPr>
        <w:t xml:space="preserve">    PaintStyle Fill,</w:t>
      </w:r>
    </w:p>
    <w:p>
      <w:pPr>
        <w:spacing w:after="26" w:before="26"/>
        <w:ind w:left="560"/>
      </w:pPr>
      <w:r>
        <w:rPr>
          <w:rFonts w:ascii="Courier New" w:cs="Courier New" w:eastAsia="Courier New" w:hAnsi="Courier New"/>
          <w:color w:val="7C3AED"/>
          <w:sz w:val="19"/>
          <w:szCs w:val="19"/>
        </w:rPr>
        <w:t xml:space="preserve">    PaintStyle Stroke) : PaintNode(Bounds);</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public sealed record LineNode(</w:t>
      </w:r>
    </w:p>
    <w:p>
      <w:pPr>
        <w:spacing w:after="26" w:before="26"/>
        <w:ind w:left="560"/>
      </w:pPr>
      <w:r>
        <w:rPr>
          <w:rFonts w:ascii="Courier New" w:cs="Courier New" w:eastAsia="Courier New" w:hAnsi="Courier New"/>
          <w:color w:val="7C3AED"/>
          <w:sz w:val="19"/>
          <w:szCs w:val="19"/>
        </w:rPr>
        <w:t xml:space="preserve">    PointF     A,</w:t>
      </w:r>
    </w:p>
    <w:p>
      <w:pPr>
        <w:spacing w:after="26" w:before="26"/>
        <w:ind w:left="560"/>
      </w:pPr>
      <w:r>
        <w:rPr>
          <w:rFonts w:ascii="Courier New" w:cs="Courier New" w:eastAsia="Courier New" w:hAnsi="Courier New"/>
          <w:color w:val="7C3AED"/>
          <w:sz w:val="19"/>
          <w:szCs w:val="19"/>
        </w:rPr>
        <w:t xml:space="preserve">    PointF     B,</w:t>
      </w:r>
    </w:p>
    <w:p>
      <w:pPr>
        <w:spacing w:after="26" w:before="26"/>
        <w:ind w:left="560"/>
      </w:pPr>
      <w:r>
        <w:rPr>
          <w:rFonts w:ascii="Courier New" w:cs="Courier New" w:eastAsia="Courier New" w:hAnsi="Courier New"/>
          <w:color w:val="7C3AED"/>
          <w:sz w:val="19"/>
          <w:szCs w:val="19"/>
        </w:rPr>
        <w:t xml:space="preserve">    LinePaint  Paint) : PaintNode(new RectF(…));</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 ── Text ─────────────────────────────────────────────────────────</w:t>
      </w:r>
    </w:p>
    <w:p>
      <w:pPr>
        <w:spacing w:after="26" w:before="26"/>
        <w:ind w:left="560"/>
      </w:pPr>
      <w:r>
        <w:rPr>
          <w:rFonts w:ascii="Courier New" w:cs="Courier New" w:eastAsia="Courier New" w:hAnsi="Courier New"/>
          <w:color w:val="7C3AED"/>
          <w:sz w:val="19"/>
          <w:szCs w:val="19"/>
        </w:rPr>
        <w:t xml:space="preserve">public sealed record GlyphRunNode(</w:t>
      </w:r>
    </w:p>
    <w:p>
      <w:pPr>
        <w:spacing w:after="26" w:before="26"/>
        <w:ind w:left="560"/>
      </w:pPr>
      <w:r>
        <w:rPr>
          <w:rFonts w:ascii="Courier New" w:cs="Courier New" w:eastAsia="Courier New" w:hAnsi="Courier New"/>
          <w:color w:val="7C3AED"/>
          <w:sz w:val="19"/>
          <w:szCs w:val="19"/>
        </w:rPr>
        <w:t xml:space="preserve">    RectF                    Bounds,</w:t>
      </w:r>
    </w:p>
    <w:p>
      <w:pPr>
        <w:spacing w:after="26" w:before="26"/>
        <w:ind w:left="560"/>
      </w:pPr>
      <w:r>
        <w:rPr>
          <w:rFonts w:ascii="Courier New" w:cs="Courier New" w:eastAsia="Courier New" w:hAnsi="Courier New"/>
          <w:color w:val="7C3AED"/>
          <w:sz w:val="19"/>
          <w:szCs w:val="19"/>
        </w:rPr>
        <w:t xml:space="preserve">    PointF                   Origin,     // baseline origin</w:t>
      </w:r>
    </w:p>
    <w:p>
      <w:pPr>
        <w:spacing w:after="26" w:before="26"/>
        <w:ind w:left="560"/>
      </w:pPr>
      <w:r>
        <w:rPr>
          <w:rFonts w:ascii="Courier New" w:cs="Courier New" w:eastAsia="Courier New" w:hAnsi="Courier New"/>
          <w:color w:val="7C3AED"/>
          <w:sz w:val="19"/>
          <w:szCs w:val="19"/>
        </w:rPr>
        <w:t xml:space="preserve">    ImmutableArray&lt;GlyphRun&gt; Runs,        // shaped, font-resolved runs</w:t>
      </w:r>
    </w:p>
    <w:p>
      <w:pPr>
        <w:spacing w:after="26" w:before="26"/>
        <w:ind w:left="560"/>
      </w:pPr>
      <w:r>
        <w:rPr>
          <w:rFonts w:ascii="Courier New" w:cs="Courier New" w:eastAsia="Courier New" w:hAnsi="Courier New"/>
          <w:color w:val="7C3AED"/>
          <w:sz w:val="19"/>
          <w:szCs w:val="19"/>
        </w:rPr>
        <w:t xml:space="preserve">    TextPaint                Paint) : PaintNode(Bounds);</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 ── Images ───────────────────────────────────────────────────────</w:t>
      </w:r>
    </w:p>
    <w:p>
      <w:pPr>
        <w:spacing w:after="26" w:before="26"/>
        <w:ind w:left="560"/>
      </w:pPr>
      <w:r>
        <w:rPr>
          <w:rFonts w:ascii="Courier New" w:cs="Courier New" w:eastAsia="Courier New" w:hAnsi="Courier New"/>
          <w:color w:val="7C3AED"/>
          <w:sz w:val="19"/>
          <w:szCs w:val="19"/>
        </w:rPr>
        <w:t xml:space="preserve">public sealed record ImageNode(</w:t>
      </w:r>
    </w:p>
    <w:p>
      <w:pPr>
        <w:spacing w:after="26" w:before="26"/>
        <w:ind w:left="560"/>
      </w:pPr>
      <w:r>
        <w:rPr>
          <w:rFonts w:ascii="Courier New" w:cs="Courier New" w:eastAsia="Courier New" w:hAnsi="Courier New"/>
          <w:color w:val="7C3AED"/>
          <w:sz w:val="19"/>
          <w:szCs w:val="19"/>
        </w:rPr>
        <w:t xml:space="preserve">    RectF    Bounds,</w:t>
      </w:r>
    </w:p>
    <w:p>
      <w:pPr>
        <w:spacing w:after="26" w:before="26"/>
        <w:ind w:left="560"/>
      </w:pPr>
      <w:r>
        <w:rPr>
          <w:rFonts w:ascii="Courier New" w:cs="Courier New" w:eastAsia="Courier New" w:hAnsi="Courier New"/>
          <w:color w:val="7C3AED"/>
          <w:sz w:val="19"/>
          <w:szCs w:val="19"/>
        </w:rPr>
        <w:t xml:space="preserve">    ImageRef Image,     // content-addressed handle; see §3.3</w:t>
      </w:r>
    </w:p>
    <w:p>
      <w:pPr>
        <w:spacing w:after="26" w:before="26"/>
        <w:ind w:left="560"/>
      </w:pPr>
      <w:r>
        <w:rPr>
          <w:rFonts w:ascii="Courier New" w:cs="Courier New" w:eastAsia="Courier New" w:hAnsi="Courier New"/>
          <w:color w:val="7C3AED"/>
          <w:sz w:val="19"/>
          <w:szCs w:val="19"/>
        </w:rPr>
        <w:t xml:space="preserve">    float    Opacity,</w:t>
      </w:r>
    </w:p>
    <w:p>
      <w:pPr>
        <w:spacing w:after="26" w:before="26"/>
        <w:ind w:left="560"/>
      </w:pPr>
      <w:r>
        <w:rPr>
          <w:rFonts w:ascii="Courier New" w:cs="Courier New" w:eastAsia="Courier New" w:hAnsi="Courier New"/>
          <w:color w:val="7C3AED"/>
          <w:sz w:val="19"/>
          <w:szCs w:val="19"/>
        </w:rPr>
        <w:t xml:space="preserve">    ImageFit Fit) : PaintNode(Bounds);</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 ── Grouping &amp; Transform ─────────────────────────────────────────</w:t>
      </w:r>
    </w:p>
    <w:p>
      <w:pPr>
        <w:spacing w:after="26" w:before="26"/>
        <w:ind w:left="560"/>
      </w:pPr>
      <w:r>
        <w:rPr>
          <w:rFonts w:ascii="Courier New" w:cs="Courier New" w:eastAsia="Courier New" w:hAnsi="Courier New"/>
          <w:color w:val="7C3AED"/>
          <w:sz w:val="19"/>
          <w:szCs w:val="19"/>
        </w:rPr>
        <w:t xml:space="preserve">public sealed record GroupNode(</w:t>
      </w:r>
    </w:p>
    <w:p>
      <w:pPr>
        <w:spacing w:after="26" w:before="26"/>
        <w:ind w:left="560"/>
      </w:pPr>
      <w:r>
        <w:rPr>
          <w:rFonts w:ascii="Courier New" w:cs="Courier New" w:eastAsia="Courier New" w:hAnsi="Courier New"/>
          <w:color w:val="7C3AED"/>
          <w:sz w:val="19"/>
          <w:szCs w:val="19"/>
        </w:rPr>
        <w:t xml:space="preserve">    RectF                    Bounds,</w:t>
      </w:r>
    </w:p>
    <w:p>
      <w:pPr>
        <w:spacing w:after="26" w:before="26"/>
        <w:ind w:left="560"/>
      </w:pPr>
      <w:r>
        <w:rPr>
          <w:rFonts w:ascii="Courier New" w:cs="Courier New" w:eastAsia="Courier New" w:hAnsi="Courier New"/>
          <w:color w:val="7C3AED"/>
          <w:sz w:val="19"/>
          <w:szCs w:val="19"/>
        </w:rPr>
        <w:t xml:space="preserve">    ImmutableArray&lt;PaintNode&gt; Children,</w:t>
      </w:r>
    </w:p>
    <w:p>
      <w:pPr>
        <w:spacing w:after="26" w:before="26"/>
        <w:ind w:left="560"/>
      </w:pPr>
      <w:r>
        <w:rPr>
          <w:rFonts w:ascii="Courier New" w:cs="Courier New" w:eastAsia="Courier New" w:hAnsi="Courier New"/>
          <w:color w:val="7C3AED"/>
          <w:sz w:val="19"/>
          <w:szCs w:val="19"/>
        </w:rPr>
        <w:t xml:space="preserve">    Matrix3x2F?              Transform,  // null = identity</w:t>
      </w:r>
    </w:p>
    <w:p>
      <w:pPr>
        <w:spacing w:after="26" w:before="26"/>
        <w:ind w:left="560"/>
      </w:pPr>
      <w:r>
        <w:rPr>
          <w:rFonts w:ascii="Courier New" w:cs="Courier New" w:eastAsia="Courier New" w:hAnsi="Courier New"/>
          <w:color w:val="7C3AED"/>
          <w:sz w:val="19"/>
          <w:szCs w:val="19"/>
        </w:rPr>
        <w:t xml:space="preserve">    RectF?                   Clip,        // null = no clip</w:t>
      </w:r>
    </w:p>
    <w:p>
      <w:pPr>
        <w:spacing w:after="26" w:before="26"/>
        <w:ind w:left="560"/>
      </w:pPr>
      <w:r>
        <w:rPr>
          <w:rFonts w:ascii="Courier New" w:cs="Courier New" w:eastAsia="Courier New" w:hAnsi="Courier New"/>
          <w:color w:val="7C3AED"/>
          <w:sz w:val="19"/>
          <w:szCs w:val="19"/>
        </w:rPr>
        <w:t xml:space="preserve">    float                    Opacity) : PaintNode(Bounds);</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 ── Shadows &amp; Effects ────────────────────────────────────────────</w:t>
      </w:r>
    </w:p>
    <w:p>
      <w:pPr>
        <w:spacing w:after="26" w:before="26"/>
        <w:ind w:left="560"/>
      </w:pPr>
      <w:r>
        <w:rPr>
          <w:rFonts w:ascii="Courier New" w:cs="Courier New" w:eastAsia="Courier New" w:hAnsi="Courier New"/>
          <w:color w:val="7C3AED"/>
          <w:sz w:val="19"/>
          <w:szCs w:val="19"/>
        </w:rPr>
        <w:t xml:space="preserve">public sealed record ShadowNode(</w:t>
      </w:r>
    </w:p>
    <w:p>
      <w:pPr>
        <w:spacing w:after="26" w:before="26"/>
        <w:ind w:left="560"/>
      </w:pPr>
      <w:r>
        <w:rPr>
          <w:rFonts w:ascii="Courier New" w:cs="Courier New" w:eastAsia="Courier New" w:hAnsi="Courier New"/>
          <w:color w:val="7C3AED"/>
          <w:sz w:val="19"/>
          <w:szCs w:val="19"/>
        </w:rPr>
        <w:t xml:space="preserve">    RectF      Bounds,</w:t>
      </w:r>
    </w:p>
    <w:p>
      <w:pPr>
        <w:spacing w:after="26" w:before="26"/>
        <w:ind w:left="560"/>
      </w:pPr>
      <w:r>
        <w:rPr>
          <w:rFonts w:ascii="Courier New" w:cs="Courier New" w:eastAsia="Courier New" w:hAnsi="Courier New"/>
          <w:color w:val="7C3AED"/>
          <w:sz w:val="19"/>
          <w:szCs w:val="19"/>
        </w:rPr>
        <w:t xml:space="preserve">    PaintNode  Content,</w:t>
      </w:r>
    </w:p>
    <w:p>
      <w:pPr>
        <w:spacing w:after="26" w:before="26"/>
        <w:ind w:left="560"/>
      </w:pPr>
      <w:r>
        <w:rPr>
          <w:rFonts w:ascii="Courier New" w:cs="Courier New" w:eastAsia="Courier New" w:hAnsi="Courier New"/>
          <w:color w:val="7C3AED"/>
          <w:sz w:val="19"/>
          <w:szCs w:val="19"/>
        </w:rPr>
        <w:t xml:space="preserve">    PointF     Offset,</w:t>
      </w:r>
    </w:p>
    <w:p>
      <w:pPr>
        <w:spacing w:after="26" w:before="26"/>
        <w:ind w:left="560"/>
      </w:pPr>
      <w:r>
        <w:rPr>
          <w:rFonts w:ascii="Courier New" w:cs="Courier New" w:eastAsia="Courier New" w:hAnsi="Courier New"/>
          <w:color w:val="7C3AED"/>
          <w:sz w:val="19"/>
          <w:szCs w:val="19"/>
        </w:rPr>
        <w:t xml:space="preserve">    float      BlurRadius,</w:t>
      </w:r>
    </w:p>
    <w:p>
      <w:pPr>
        <w:spacing w:after="26" w:before="26"/>
        <w:ind w:left="560"/>
      </w:pPr>
      <w:r>
        <w:rPr>
          <w:rFonts w:ascii="Courier New" w:cs="Courier New" w:eastAsia="Courier New" w:hAnsi="Courier New"/>
          <w:color w:val="7C3AED"/>
          <w:sz w:val="19"/>
          <w:szCs w:val="19"/>
        </w:rPr>
        <w:t xml:space="preserve">    Color      ShadowColor) : PaintNode(Bounds);</w:t>
      </w:r>
    </w:p>
    <w:p>
      <w:pPr>
        <w:spacing w:after="110" w:before="0"/>
      </w:pPr>
      <w:r>
        <w:t xml:space="preserve"/>
      </w:r>
    </w:p>
    <w:p>
      <w:pPr>
        <w:pStyle w:val="Heading2"/>
        <w:spacing w:after="100" w:before="280"/>
      </w:pPr>
      <w:bookmarkStart w:name="imageref" w:id="1"/>
      <w:r>
        <w:rPr>
          <w:rFonts w:ascii="Calibri" w:cs="Calibri" w:eastAsia="Calibri" w:hAnsi="Calibri"/>
          <w:b/>
          <w:bCs/>
          <w:color w:val="2563EB"/>
          <w:sz w:val="26"/>
          <w:szCs w:val="26"/>
        </w:rPr>
        <w:t xml:space="preserve">3.3 ImageRef — Content-Addressed Image Handles</w:t>
      </w:r>
      <w:bookmarkEnd w:id="1"/>
    </w:p>
    <w:p>
      <w:pPr>
        <w:spacing w:after="100" w:before="60"/>
      </w:pPr>
      <w:r>
        <w:rPr>
          <w:rFonts w:ascii="Calibri" w:cs="Calibri" w:eastAsia="Calibri" w:hAnsi="Calibri"/>
          <w:color w:val="0F172A"/>
          <w:sz w:val="22"/>
          <w:szCs w:val="22"/>
        </w:rPr>
        <w:t xml:space="preserve">Images are never embedded as raw byte arrays inside PaintNodes. Instead, an ImageRef is a lightweight handle containing only a SHA-256 content hash and optional dimensions. The actual pixel data lives in a separate ImageStore keyed by hash. This design has three benefits:</w:t>
      </w:r>
    </w:p>
    <w:p>
      <w:pPr>
        <w:spacing w:after="110" w:before="0"/>
      </w:pPr>
      <w:r>
        <w:t xml:space="preserve"/>
      </w:r>
    </w:p>
    <w:p>
      <w:pPr>
        <w:pStyle w:val="ListParagraph"/>
        <w:numPr>
          <w:ilvl w:val="0"/>
          <w:numId w:val="2"/>
        </w:numPr>
        <w:spacing w:after="40" w:before="40"/>
      </w:pPr>
      <w:r>
        <w:rPr>
          <w:rFonts w:ascii="Calibri" w:cs="Calibri" w:eastAsia="Calibri" w:hAnsi="Calibri"/>
          <w:color w:val="0F172A"/>
          <w:sz w:val="22"/>
          <w:szCs w:val="22"/>
        </w:rPr>
        <w:t xml:space="preserve">PaintScene remains small and cheap to copy — images that appear multiple times (logo in header/footer of every page) are stored once.</w:t>
      </w:r>
    </w:p>
    <w:p>
      <w:pPr>
        <w:pStyle w:val="ListParagraph"/>
        <w:numPr>
          <w:ilvl w:val="0"/>
          <w:numId w:val="2"/>
        </w:numPr>
        <w:spacing w:after="40" w:before="40"/>
      </w:pPr>
      <w:r>
        <w:rPr>
          <w:rFonts w:ascii="Calibri" w:cs="Calibri" w:eastAsia="Calibri" w:hAnsi="Calibri"/>
          <w:color w:val="0F172A"/>
          <w:sz w:val="22"/>
          <w:szCs w:val="22"/>
        </w:rPr>
        <w:t xml:space="preserve">Serialised PaintScene JSON is compact — image hashes are ~64 bytes vs megabytes of pixel data.</w:t>
      </w:r>
    </w:p>
    <w:p>
      <w:pPr>
        <w:pStyle w:val="ListParagraph"/>
        <w:numPr>
          <w:ilvl w:val="0"/>
          <w:numId w:val="2"/>
        </w:numPr>
        <w:spacing w:after="40" w:before="40"/>
      </w:pPr>
      <w:r>
        <w:rPr>
          <w:rFonts w:ascii="Calibri" w:cs="Calibri" w:eastAsia="Calibri" w:hAnsi="Calibri"/>
          <w:color w:val="0F172A"/>
          <w:sz w:val="22"/>
          <w:szCs w:val="22"/>
        </w:rPr>
        <w:t xml:space="preserve">The ImageStore can evict decoded bitmaps under memory pressure; on next render, it re-decodes from the original compressed bytes.</w:t>
      </w:r>
    </w:p>
    <w:p>
      <w:pPr>
        <w:spacing w:after="110" w:before="0"/>
      </w:pPr>
      <w:r>
        <w:t xml:space="preserve"/>
      </w:r>
    </w:p>
    <w:p>
      <w:pPr>
        <w:spacing w:after="26" w:before="26"/>
        <w:ind w:left="560"/>
      </w:pPr>
      <w:r>
        <w:rPr>
          <w:rFonts w:ascii="Courier New" w:cs="Courier New" w:eastAsia="Courier New" w:hAnsi="Courier New"/>
          <w:color w:val="7C3AED"/>
          <w:sz w:val="19"/>
          <w:szCs w:val="19"/>
        </w:rPr>
        <w:t xml:space="preserve">public sealed record ImageRef(</w:t>
      </w:r>
    </w:p>
    <w:p>
      <w:pPr>
        <w:spacing w:after="26" w:before="26"/>
        <w:ind w:left="560"/>
      </w:pPr>
      <w:r>
        <w:rPr>
          <w:rFonts w:ascii="Courier New" w:cs="Courier New" w:eastAsia="Courier New" w:hAnsi="Courier New"/>
          <w:color w:val="7C3AED"/>
          <w:sz w:val="19"/>
          <w:szCs w:val="19"/>
        </w:rPr>
        <w:t xml:space="preserve">    string  ContentHash,   // hex-encoded SHA-256 of compressed source bytes</w:t>
      </w:r>
    </w:p>
    <w:p>
      <w:pPr>
        <w:spacing w:after="26" w:before="26"/>
        <w:ind w:left="560"/>
      </w:pPr>
      <w:r>
        <w:rPr>
          <w:rFonts w:ascii="Courier New" w:cs="Courier New" w:eastAsia="Courier New" w:hAnsi="Courier New"/>
          <w:color w:val="7C3AED"/>
          <w:sz w:val="19"/>
          <w:szCs w:val="19"/>
        </w:rPr>
        <w:t xml:space="preserve">    int     Width,         // natural width in pixels</w:t>
      </w:r>
    </w:p>
    <w:p>
      <w:pPr>
        <w:spacing w:after="26" w:before="26"/>
        <w:ind w:left="560"/>
      </w:pPr>
      <w:r>
        <w:rPr>
          <w:rFonts w:ascii="Courier New" w:cs="Courier New" w:eastAsia="Courier New" w:hAnsi="Courier New"/>
          <w:color w:val="7C3AED"/>
          <w:sz w:val="19"/>
          <w:szCs w:val="19"/>
        </w:rPr>
        <w:t xml:space="preserve">    int     Height,        // natural height in pixels</w:t>
      </w:r>
    </w:p>
    <w:p>
      <w:pPr>
        <w:spacing w:after="26" w:before="26"/>
        <w:ind w:left="560"/>
      </w:pPr>
      <w:r>
        <w:rPr>
          <w:rFonts w:ascii="Courier New" w:cs="Courier New" w:eastAsia="Courier New" w:hAnsi="Courier New"/>
          <w:color w:val="7C3AED"/>
          <w:sz w:val="19"/>
          <w:szCs w:val="19"/>
        </w:rPr>
        <w:t xml:space="preserve">    string  MimeType);     // 'image/png', 'image/jpeg', 'image/webp', 'image/svg+xml'</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public interface IImageStore</w:t>
      </w:r>
    </w:p>
    <w:p>
      <w:pPr>
        <w:spacing w:after="26" w:before="26"/>
        <w:ind w:left="560"/>
      </w:pPr>
      <w:r>
        <w:rPr>
          <w:rFonts w:ascii="Courier New" w:cs="Courier New" w:eastAsia="Courier New" w:hAnsi="Courier New"/>
          <w:color w:val="7C3AED"/>
          <w:sz w:val="19"/>
          <w:szCs w:val="19"/>
        </w:rPr>
        <w:t xml:space="preserve">{</w:t>
      </w:r>
    </w:p>
    <w:p>
      <w:pPr>
        <w:spacing w:after="26" w:before="26"/>
        <w:ind w:left="560"/>
      </w:pPr>
      <w:r>
        <w:rPr>
          <w:rFonts w:ascii="Courier New" w:cs="Courier New" w:eastAsia="Courier New" w:hAnsi="Courier New"/>
          <w:color w:val="7C3AED"/>
          <w:sz w:val="19"/>
          <w:szCs w:val="19"/>
        </w:rPr>
        <w:t xml:space="preserve">    void   Register(ImageRef handle, ReadOnlyMemory&lt;byte&gt; compressedData);</w:t>
      </w:r>
    </w:p>
    <w:p>
      <w:pPr>
        <w:spacing w:after="26" w:before="26"/>
        <w:ind w:left="560"/>
      </w:pPr>
      <w:r>
        <w:rPr>
          <w:rFonts w:ascii="Courier New" w:cs="Courier New" w:eastAsia="Courier New" w:hAnsi="Courier New"/>
          <w:color w:val="7C3AED"/>
          <w:sz w:val="19"/>
          <w:szCs w:val="19"/>
        </w:rPr>
        <w:t xml:space="preserve">    bool   TryGetDecoded(ImageRef handle, out SKBitmap? bitmap);</w:t>
      </w:r>
    </w:p>
    <w:p>
      <w:pPr>
        <w:spacing w:after="26" w:before="26"/>
        <w:ind w:left="560"/>
      </w:pPr>
      <w:r>
        <w:rPr>
          <w:rFonts w:ascii="Courier New" w:cs="Courier New" w:eastAsia="Courier New" w:hAnsi="Courier New"/>
          <w:color w:val="7C3AED"/>
          <w:sz w:val="19"/>
          <w:szCs w:val="19"/>
        </w:rPr>
        <w:t xml:space="preserve">    SKBitmap Decode(ImageRef handle);   // decode + cache</w:t>
      </w:r>
    </w:p>
    <w:p>
      <w:pPr>
        <w:spacing w:after="26" w:before="26"/>
        <w:ind w:left="560"/>
      </w:pPr>
      <w:r>
        <w:rPr>
          <w:rFonts w:ascii="Courier New" w:cs="Courier New" w:eastAsia="Courier New" w:hAnsi="Courier New"/>
          <w:color w:val="7C3AED"/>
          <w:sz w:val="19"/>
          <w:szCs w:val="19"/>
        </w:rPr>
        <w:t xml:space="preserve">    void   Evict(ImageRef handle);</w:t>
      </w:r>
    </w:p>
    <w:p>
      <w:pPr>
        <w:spacing w:after="26" w:before="26"/>
        <w:ind w:left="560"/>
      </w:pPr>
      <w:r>
        <w:rPr>
          <w:rFonts w:ascii="Courier New" w:cs="Courier New" w:eastAsia="Courier New" w:hAnsi="Courier New"/>
          <w:color w:val="7C3AED"/>
          <w:sz w:val="19"/>
          <w:szCs w:val="19"/>
        </w:rPr>
        <w:t xml:space="preserve">    void   EvictAll();</w:t>
      </w:r>
    </w:p>
    <w:p>
      <w:pPr>
        <w:spacing w:after="26" w:before="26"/>
        <w:ind w:left="560"/>
      </w:pPr>
      <w:r>
        <w:rPr>
          <w:rFonts w:ascii="Courier New" w:cs="Courier New" w:eastAsia="Courier New" w:hAnsi="Courier New"/>
          <w:color w:val="7C3AED"/>
          <w:sz w:val="19"/>
          <w:szCs w:val="19"/>
        </w:rPr>
        <w:t xml:space="preserve">}</w:t>
      </w:r>
    </w:p>
    <w:p>
      <w:pPr>
        <w:spacing w:after="110" w:before="0"/>
      </w:pPr>
      <w:r>
        <w:t xml:space="preserve"/>
      </w:r>
    </w:p>
    <w:p>
      <w:pPr>
        <w:pStyle w:val="Heading2"/>
        <w:spacing w:after="100" w:before="280"/>
      </w:pPr>
      <w:bookmarkStart w:name="lokipath" w:id="1"/>
      <w:r>
        <w:rPr>
          <w:rFonts w:ascii="Calibri" w:cs="Calibri" w:eastAsia="Calibri" w:hAnsi="Calibri"/>
          <w:b/>
          <w:bCs/>
          <w:color w:val="2563EB"/>
          <w:sz w:val="26"/>
          <w:szCs w:val="26"/>
        </w:rPr>
        <w:t xml:space="preserve">3.4 LokiPath — Immutable Vector Path</w:t>
      </w:r>
      <w:bookmarkEnd w:id="1"/>
    </w:p>
    <w:p>
      <w:pPr>
        <w:spacing w:after="100" w:before="60"/>
      </w:pPr>
      <w:r>
        <w:rPr>
          <w:rFonts w:ascii="Calibri" w:cs="Calibri" w:eastAsia="Calibri" w:hAnsi="Calibri"/>
          <w:color w:val="0F172A"/>
          <w:sz w:val="22"/>
          <w:szCs w:val="22"/>
        </w:rPr>
        <w:t xml:space="preserve">LokiPath wraps a sequence of path verbs (MoveTo, LineTo, CubicTo, QuadTo, Close) as an ImmutableArray&lt;PathVerb&gt;. It is constructed via a builder and then frozen. It exposes a lazy SKPath property that is computed once and cached.</w:t>
      </w:r>
    </w:p>
    <w:p>
      <w:pPr>
        <w:spacing w:after="26" w:before="26"/>
        <w:ind w:left="560"/>
      </w:pPr>
      <w:r>
        <w:rPr>
          <w:rFonts w:ascii="Courier New" w:cs="Courier New" w:eastAsia="Courier New" w:hAnsi="Courier New"/>
          <w:color w:val="7C3AED"/>
          <w:sz w:val="19"/>
          <w:szCs w:val="19"/>
        </w:rPr>
        <w:t xml:space="preserve">public sealed class LokiPath</w:t>
      </w:r>
    </w:p>
    <w:p>
      <w:pPr>
        <w:spacing w:after="26" w:before="26"/>
        <w:ind w:left="560"/>
      </w:pPr>
      <w:r>
        <w:rPr>
          <w:rFonts w:ascii="Courier New" w:cs="Courier New" w:eastAsia="Courier New" w:hAnsi="Courier New"/>
          <w:color w:val="7C3AED"/>
          <w:sz w:val="19"/>
          <w:szCs w:val="19"/>
        </w:rPr>
        <w:t xml:space="preserve">{</w:t>
      </w:r>
    </w:p>
    <w:p>
      <w:pPr>
        <w:spacing w:after="26" w:before="26"/>
        <w:ind w:left="560"/>
      </w:pPr>
      <w:r>
        <w:rPr>
          <w:rFonts w:ascii="Courier New" w:cs="Courier New" w:eastAsia="Courier New" w:hAnsi="Courier New"/>
          <w:color w:val="7C3AED"/>
          <w:sz w:val="19"/>
          <w:szCs w:val="19"/>
        </w:rPr>
        <w:t xml:space="preserve">    public ImmutableArray&lt;PathVerb&gt; Verbs { get; }</w:t>
      </w:r>
    </w:p>
    <w:p>
      <w:pPr>
        <w:spacing w:after="26" w:before="26"/>
        <w:ind w:left="560"/>
      </w:pPr>
      <w:r>
        <w:rPr>
          <w:rFonts w:ascii="Courier New" w:cs="Courier New" w:eastAsia="Courier New" w:hAnsi="Courier New"/>
          <w:color w:val="7C3AED"/>
          <w:sz w:val="19"/>
          <w:szCs w:val="19"/>
        </w:rPr>
        <w:t xml:space="preserve">    public RectF Bounds { get; }</w:t>
      </w:r>
    </w:p>
    <w:p>
      <w:pPr>
        <w:spacing w:after="26" w:before="26"/>
        <w:ind w:left="560"/>
      </w:pPr>
      <w:r>
        <w:rPr>
          <w:rFonts w:ascii="Courier New" w:cs="Courier New" w:eastAsia="Courier New" w:hAnsi="Courier New"/>
          <w:color w:val="7C3AED"/>
          <w:sz w:val="19"/>
          <w:szCs w:val="19"/>
        </w:rPr>
        <w:t xml:space="preserve">    public FillType Fill { get; }</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    // Lazily computed; thread-safe via Lazy&lt;T&gt;</w:t>
      </w:r>
    </w:p>
    <w:p>
      <w:pPr>
        <w:spacing w:after="26" w:before="26"/>
        <w:ind w:left="560"/>
      </w:pPr>
      <w:r>
        <w:rPr>
          <w:rFonts w:ascii="Courier New" w:cs="Courier New" w:eastAsia="Courier New" w:hAnsi="Courier New"/>
          <w:color w:val="7C3AED"/>
          <w:sz w:val="19"/>
          <w:szCs w:val="19"/>
        </w:rPr>
        <w:t xml:space="preserve">    public SKPath ToSkiaPath();</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    public static LokiPath.Builder CreateBuilder();</w:t>
      </w:r>
    </w:p>
    <w:p>
      <w:pPr>
        <w:spacing w:after="26" w:before="26"/>
        <w:ind w:left="560"/>
      </w:pPr>
      <w:r>
        <w:rPr>
          <w:rFonts w:ascii="Courier New" w:cs="Courier New" w:eastAsia="Courier New" w:hAnsi="Courier New"/>
          <w:color w:val="7C3AED"/>
          <w:sz w:val="19"/>
          <w:szCs w:val="19"/>
        </w:rPr>
        <w:t xml:space="preserve">}</w:t>
      </w:r>
    </w:p>
    <w:p>
      <w:pPr>
        <w:spacing w:after="26" w:before="26"/>
        <w:ind w:left="560"/>
      </w:pPr>
      <w:r>
        <w:rPr>
          <w:rFonts w:ascii="Courier New" w:cs="Courier New" w:eastAsia="Courier New" w:hAnsi="Courier New"/>
          <w:color w:val="7C3AED"/>
          <w:sz w:val="19"/>
          <w:szCs w:val="19"/>
        </w:rPr>
        <w:t xml:space="preserve"/>
      </w:r>
    </w:p>
    <w:p>
      <w:pPr>
        <w:spacing w:after="26" w:before="26"/>
        <w:ind w:left="560"/>
      </w:pPr>
      <w:r>
        <w:rPr>
          <w:rFonts w:ascii="Courier New" w:cs="Courier New" w:eastAsia="Courier New" w:hAnsi="Courier New"/>
          <w:color w:val="7C3AED"/>
          <w:sz w:val="19"/>
          <w:szCs w:val="19"/>
        </w:rPr>
        <w:t xml:space="preserve">public abstract record PathVerb;</w:t>
      </w:r>
    </w:p>
    <w:p>
      <w:pPr>
        <w:spacing w:after="26" w:before="26"/>
        <w:ind w:left="560"/>
      </w:pPr>
      <w:r>
        <w:rPr>
          <w:rFonts w:ascii="Courier New" w:cs="Courier New" w:eastAsia="Courier New" w:hAnsi="Courier New"/>
          <w:color w:val="7C3AED"/>
          <w:sz w:val="19"/>
          <w:szCs w:val="19"/>
        </w:rPr>
        <w:t xml:space="preserve">record MoveToVerb  (PointF P) : PathVerb;</w:t>
      </w:r>
    </w:p>
    <w:p>
      <w:pPr>
        <w:spacing w:after="26" w:before="26"/>
        <w:ind w:left="560"/>
      </w:pPr>
      <w:r>
        <w:rPr>
          <w:rFonts w:ascii="Courier New" w:cs="Courier New" w:eastAsia="Courier New" w:hAnsi="Courier New"/>
          <w:color w:val="7C3AED"/>
          <w:sz w:val="19"/>
          <w:szCs w:val="19"/>
        </w:rPr>
        <w:t xml:space="preserve">record LineToVerb  (PointF P) : PathVerb;</w:t>
      </w:r>
    </w:p>
    <w:p>
      <w:pPr>
        <w:spacing w:after="26" w:before="26"/>
        <w:ind w:left="560"/>
      </w:pPr>
      <w:r>
        <w:rPr>
          <w:rFonts w:ascii="Courier New" w:cs="Courier New" w:eastAsia="Courier New" w:hAnsi="Courier New"/>
          <w:color w:val="7C3AED"/>
          <w:sz w:val="19"/>
          <w:szCs w:val="19"/>
        </w:rPr>
        <w:t xml:space="preserve">record CubicToVerb (PointF C1, PointF C2, PointF P) : PathVerb;</w:t>
      </w:r>
    </w:p>
    <w:p>
      <w:pPr>
        <w:spacing w:after="26" w:before="26"/>
        <w:ind w:left="560"/>
      </w:pPr>
      <w:r>
        <w:rPr>
          <w:rFonts w:ascii="Courier New" w:cs="Courier New" w:eastAsia="Courier New" w:hAnsi="Courier New"/>
          <w:color w:val="7C3AED"/>
          <w:sz w:val="19"/>
          <w:szCs w:val="19"/>
        </w:rPr>
        <w:t xml:space="preserve">record QuadToVerb  (PointF Control, PointF P) : PathVerb;</w:t>
      </w:r>
    </w:p>
    <w:p>
      <w:pPr>
        <w:spacing w:after="26" w:before="26"/>
        <w:ind w:left="560"/>
      </w:pPr>
      <w:r>
        <w:rPr>
          <w:rFonts w:ascii="Courier New" w:cs="Courier New" w:eastAsia="Courier New" w:hAnsi="Courier New"/>
          <w:color w:val="7C3AED"/>
          <w:sz w:val="19"/>
          <w:szCs w:val="19"/>
        </w:rPr>
        <w:t xml:space="preserve">record ConicToVerb (PointF Control, PointF P, float W) : PathVerb;</w:t>
      </w:r>
    </w:p>
    <w:p>
      <w:pPr>
        <w:spacing w:after="26" w:before="26"/>
        <w:ind w:left="560"/>
      </w:pPr>
      <w:r>
        <w:rPr>
          <w:rFonts w:ascii="Courier New" w:cs="Courier New" w:eastAsia="Courier New" w:hAnsi="Courier New"/>
          <w:color w:val="7C3AED"/>
          <w:sz w:val="19"/>
          <w:szCs w:val="19"/>
        </w:rPr>
        <w:t xml:space="preserve">record CloseVerb   () : PathVerb;</w:t>
      </w:r>
    </w:p>
    <w:p>
      <w:r>
        <w:br w:type="page"/>
      </w:r>
    </w:p>
    <w:p>
      <w:pPr>
        <w:pStyle w:val="Heading1"/>
        <w:spacing w:after="140" w:before="360"/>
      </w:pPr>
      <w:bookmarkStart w:name="immutability" w:id="1"/>
      <w:r>
        <w:rPr>
          <w:rFonts w:ascii="Calibri" w:cs="Calibri" w:eastAsia="Calibri" w:hAnsi="Calibri"/>
          <w:b/>
          <w:bCs/>
          <w:color w:val="1B2A4A"/>
          <w:sz w:val="34"/>
          <w:szCs w:val="34"/>
        </w:rPr>
        <w:t xml:space="preserve">4. Immutability Contract</w:t>
      </w:r>
      <w:bookmarkEnd w:id="1"/>
    </w:p>
    <w:p>
      <w:pPr>
        <w:spacing w:after="100" w:before="60"/>
      </w:pPr>
      <w:r>
        <w:rPr>
          <w:rFonts w:ascii="Calibri" w:cs="Calibri" w:eastAsia="Calibri" w:hAnsi="Calibri"/>
          <w:color w:val="0F172A"/>
          <w:sz w:val="22"/>
          <w:szCs w:val="22"/>
        </w:rPr>
        <w:t xml:space="preserve">The immutability guarantee is enforced at every level of the tree:</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Layer</w:t>
            </w:r>
          </w:p>
        </w:tc>
        <w:tc>
          <w:tcPr>
            <w:tcW w:type="dxa" w:w="2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Mechanism</w:t>
            </w:r>
          </w:p>
        </w:tc>
        <w:tc>
          <w:tcPr>
            <w:tcW w:type="dxa" w:w="3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Enforced By</w:t>
            </w:r>
          </w:p>
        </w:tc>
      </w:tr>
      <w:tr>
        <w:tc>
          <w:tcPr>
            <w:tcW w:type="dxa" w:w="2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PaintScene / PaintBand / all PaintNode subtypes</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sealed record — structural immutability; no setters</w:t>
            </w:r>
          </w:p>
        </w:tc>
        <w:tc>
          <w:tcPr>
            <w:tcW w:type="dxa" w:w="3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 record + sealed modifier</w:t>
            </w:r>
          </w:p>
        </w:tc>
      </w:tr>
      <w:tr>
        <w:tc>
          <w:tcPr>
            <w:tcW w:type="dxa" w:w="2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Collections within records</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ImmutableArray&lt;T&gt; — no mutation after construction</w:t>
            </w:r>
          </w:p>
        </w:tc>
        <w:tc>
          <w:tcPr>
            <w:tcW w:type="dxa" w:w="3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Type selection (not List&lt;T&gt; or T[])</w:t>
            </w:r>
          </w:p>
        </w:tc>
      </w:tr>
      <w:tr>
        <w:tc>
          <w:tcPr>
            <w:tcW w:type="dxa" w:w="2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ImageRef pixel data</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ReadOnlyMemory&lt;byte&gt; in ImageStore — callers get a read-only view</w:t>
            </w:r>
          </w:p>
        </w:tc>
        <w:tc>
          <w:tcPr>
            <w:tcW w:type="dxa" w:w="3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ReadOnlyMemory&lt;T&gt; type</w:t>
            </w:r>
          </w:p>
        </w:tc>
      </w:tr>
      <w:tr>
        <w:tc>
          <w:tcPr>
            <w:tcW w:type="dxa" w:w="2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LokiPath verbs</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ImmutableArray&lt;PathVerb&gt; — frozen at Build()</w:t>
            </w:r>
          </w:p>
        </w:tc>
        <w:tc>
          <w:tcPr>
            <w:tcW w:type="dxa" w:w="3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LokiPath.Builder + sealed class</w:t>
            </w:r>
          </w:p>
        </w:tc>
      </w:tr>
      <w:tr>
        <w:tc>
          <w:tcPr>
            <w:tcW w:type="dxa" w:w="2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SKPath cache in LokiPath</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Lazy&lt;SKPath&gt; — constructed once, never replaced</w:t>
            </w:r>
          </w:p>
        </w:tc>
        <w:tc>
          <w:tcPr>
            <w:tcW w:type="dxa" w:w="3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Lazy&lt;T&gt; + no public setter</w:t>
            </w:r>
          </w:p>
        </w:tc>
      </w:tr>
      <w:tr>
        <w:tc>
          <w:tcPr>
            <w:tcW w:type="dxa" w:w="2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PaintStyle / TextPaint / LinePaint</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sealed record — copy-on-modification via with-expressions</w:t>
            </w:r>
          </w:p>
        </w:tc>
        <w:tc>
          <w:tcPr>
            <w:tcW w:type="dxa" w:w="3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 record semantics</w:t>
            </w:r>
          </w:p>
        </w:tc>
      </w:tr>
    </w:tbl>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Why ImmutableArray and not IReadOnlyList?</w:t>
            </w:r>
          </w:p>
          <w:p>
            <w:pPr>
              <w:spacing w:after="36" w:before="0"/>
            </w:pPr>
            <w:r>
              <w:rPr>
                <w:rFonts w:ascii="Calibri" w:cs="Calibri" w:eastAsia="Calibri" w:hAnsi="Calibri"/>
                <w:color w:val="0F172A"/>
                <w:sz w:val="21"/>
                <w:szCs w:val="21"/>
              </w:rPr>
              <w:t xml:space="preserve">IReadOnlyList&lt;T&gt; is a read-only view of a potentially mutable underlying list.</w:t>
            </w:r>
          </w:p>
          <w:p>
            <w:pPr>
              <w:spacing w:after="36" w:before="0"/>
            </w:pPr>
            <w:r>
              <w:rPr>
                <w:rFonts w:ascii="Calibri" w:cs="Calibri" w:eastAsia="Calibri" w:hAnsi="Calibri"/>
                <w:color w:val="0F172A"/>
                <w:sz w:val="21"/>
                <w:szCs w:val="21"/>
              </w:rPr>
              <w:t xml:space="preserve">A caller holding an IReadOnlyList&lt;T&gt; cannot be certain the data won't change if</w:t>
            </w:r>
          </w:p>
          <w:p>
            <w:pPr>
              <w:spacing w:after="36" w:before="0"/>
            </w:pPr>
            <w:r>
              <w:rPr>
                <w:rFonts w:ascii="Calibri" w:cs="Calibri" w:eastAsia="Calibri" w:hAnsi="Calibri"/>
                <w:color w:val="0F172A"/>
                <w:sz w:val="21"/>
                <w:szCs w:val="21"/>
              </w:rPr>
              <w:t xml:space="preserve">the original List&lt;T&gt; is modified elsewhere. ImmutableArray&lt;T&gt; is a value type</w:t>
            </w:r>
          </w:p>
          <w:p>
            <w:pPr>
              <w:spacing w:after="36" w:before="0"/>
            </w:pPr>
            <w:r>
              <w:rPr>
                <w:rFonts w:ascii="Calibri" w:cs="Calibri" w:eastAsia="Calibri" w:hAnsi="Calibri"/>
                <w:color w:val="0F172A"/>
                <w:sz w:val="21"/>
                <w:szCs w:val="21"/>
              </w:rPr>
              <w:t xml:space="preserve">wrapping a truly immutable array — once created, the data cannot change.</w:t>
            </w:r>
          </w:p>
          <w:p>
            <w:pPr>
              <w:spacing w:after="36" w:before="0"/>
            </w:pPr>
            <w:r>
              <w:rPr>
                <w:rFonts w:ascii="Calibri" w:cs="Calibri" w:eastAsia="Calibri" w:hAnsi="Calibri"/>
                <w:color w:val="0F172A"/>
                <w:sz w:val="21"/>
                <w:szCs w:val="21"/>
              </w:rPr>
              <w:t xml:space="preserve">The cost is a slightly more verbose builder pattern; the benefit is a hard</w:t>
            </w:r>
          </w:p>
          <w:p>
            <w:pPr>
              <w:spacing w:after="36" w:before="0"/>
            </w:pPr>
            <w:r>
              <w:rPr>
                <w:rFonts w:ascii="Calibri" w:cs="Calibri" w:eastAsia="Calibri" w:hAnsi="Calibri"/>
                <w:color w:val="0F172A"/>
                <w:sz w:val="21"/>
                <w:szCs w:val="21"/>
              </w:rPr>
              <w:t xml:space="preserve">compile-time and runtime guarantee that PaintScene contents are stable across threads.</w:t>
            </w:r>
          </w:p>
        </w:tc>
      </w:tr>
    </w:tbl>
    <w:p>
      <w:pPr>
        <w:spacing w:after="110" w:before="0"/>
      </w:pPr>
      <w:r>
        <w:t xml:space="preserve"/>
      </w:r>
    </w:p>
    <w:p>
      <w:pPr>
        <w:pStyle w:val="Heading1"/>
        <w:spacing w:after="140" w:before="360"/>
      </w:pPr>
      <w:bookmarkStart w:name="bands" w:id="1"/>
      <w:r>
        <w:rPr>
          <w:rFonts w:ascii="Calibri" w:cs="Calibri" w:eastAsia="Calibri" w:hAnsi="Calibri"/>
          <w:b/>
          <w:bCs/>
          <w:color w:val="1B2A4A"/>
          <w:sz w:val="34"/>
          <w:szCs w:val="34"/>
        </w:rPr>
        <w:t xml:space="preserve">5. Band Model and Partial Invalidation</w:t>
      </w:r>
      <w:bookmarkEnd w:id="1"/>
    </w:p>
    <w:p>
      <w:pPr>
        <w:spacing w:after="100" w:before="60"/>
      </w:pPr>
      <w:r>
        <w:rPr>
          <w:rFonts w:ascii="Calibri" w:cs="Calibri" w:eastAsia="Calibri" w:hAnsi="Calibri"/>
          <w:color w:val="0F172A"/>
          <w:sz w:val="22"/>
          <w:szCs w:val="22"/>
        </w:rPr>
        <w:t xml:space="preserve">A document page is divided into horizontal Bands. Each Band has a LayoutVersion counter. When the document changes (e.g. the user types in paragraph 3 of page 2), only the Bands that contain affected content get a new LayoutVersion. Bands whose LayoutVersion has not changed can be reused from cache — their tiles do not need re-rendering.</w:t>
      </w:r>
    </w:p>
    <w:p>
      <w:pPr>
        <w:spacing w:after="110" w:before="0"/>
      </w:pPr>
      <w:r>
        <w:t xml:space="preserve"/>
      </w:r>
    </w:p>
    <w:p>
      <w:pPr>
        <w:pStyle w:val="Heading2"/>
        <w:spacing w:after="100" w:before="280"/>
      </w:pPr>
      <w:bookmarkStart w:name="band_height" w:id="1"/>
      <w:r>
        <w:rPr>
          <w:rFonts w:ascii="Calibri" w:cs="Calibri" w:eastAsia="Calibri" w:hAnsi="Calibri"/>
          <w:b/>
          <w:bCs/>
          <w:color w:val="2563EB"/>
          <w:sz w:val="26"/>
          <w:szCs w:val="26"/>
        </w:rPr>
        <w:t xml:space="preserve">5.1 Band Height Policy</w:t>
      </w:r>
      <w:bookmarkEnd w:id="1"/>
    </w:p>
    <w:p>
      <w:pPr>
        <w:pStyle w:val="ListParagraph"/>
        <w:numPr>
          <w:ilvl w:val="0"/>
          <w:numId w:val="2"/>
        </w:numPr>
        <w:spacing w:after="40" w:before="40"/>
      </w:pPr>
      <w:r>
        <w:rPr>
          <w:rFonts w:ascii="Calibri" w:cs="Calibri" w:eastAsia="Calibri" w:hAnsi="Calibri"/>
          <w:color w:val="0F172A"/>
          <w:sz w:val="22"/>
          <w:szCs w:val="22"/>
        </w:rPr>
        <w:t xml:space="preserve">Default band height: 2 × tile size in logical points. At 96 dpi and 512 px tiles, this is 1024/96 ≈ 10.67 points per pixel × 512 = ~5456 logical units — approximately 2 inches of document height per band.</w:t>
      </w:r>
    </w:p>
    <w:p>
      <w:pPr>
        <w:pStyle w:val="ListParagraph"/>
        <w:numPr>
          <w:ilvl w:val="0"/>
          <w:numId w:val="2"/>
        </w:numPr>
        <w:spacing w:after="40" w:before="40"/>
      </w:pPr>
      <w:r>
        <w:rPr>
          <w:rFonts w:ascii="Calibri" w:cs="Calibri" w:eastAsia="Calibri" w:hAnsi="Calibri"/>
          <w:color w:val="0F172A"/>
          <w:sz w:val="22"/>
          <w:szCs w:val="22"/>
        </w:rPr>
        <w:t xml:space="preserve">The layout engine is free to emit bands of any height; the default is a heuristic tuned for typical paragraph heights.</w:t>
      </w:r>
    </w:p>
    <w:p>
      <w:pPr>
        <w:pStyle w:val="ListParagraph"/>
        <w:numPr>
          <w:ilvl w:val="0"/>
          <w:numId w:val="2"/>
        </w:numPr>
        <w:spacing w:after="40" w:before="40"/>
      </w:pPr>
      <w:r>
        <w:rPr>
          <w:rFonts w:ascii="Calibri" w:cs="Calibri" w:eastAsia="Calibri" w:hAnsi="Calibri"/>
          <w:color w:val="0F172A"/>
          <w:sz w:val="22"/>
          <w:szCs w:val="22"/>
        </w:rPr>
        <w:t xml:space="preserve">Very tall content (large images, merged spreadsheet cells) is placed in a single band; the band may be taller than two tile heights.</w:t>
      </w:r>
    </w:p>
    <w:p>
      <w:pPr>
        <w:pStyle w:val="ListParagraph"/>
        <w:numPr>
          <w:ilvl w:val="0"/>
          <w:numId w:val="2"/>
        </w:numPr>
        <w:spacing w:after="40" w:before="40"/>
      </w:pPr>
      <w:r>
        <w:rPr>
          <w:rFonts w:ascii="Calibri" w:cs="Calibri" w:eastAsia="Calibri" w:hAnsi="Calibri"/>
          <w:color w:val="0F172A"/>
          <w:sz w:val="22"/>
          <w:szCs w:val="22"/>
        </w:rPr>
        <w:t xml:space="preserve">Empty space at the bottom of a page is a single terminal band.</w:t>
      </w:r>
    </w:p>
    <w:p>
      <w:pPr>
        <w:spacing w:after="110" w:before="0"/>
      </w:pPr>
      <w:r>
        <w:t xml:space="preserve"/>
      </w:r>
    </w:p>
    <w:p>
      <w:pPr>
        <w:pStyle w:val="Heading2"/>
        <w:spacing w:after="100" w:before="280"/>
      </w:pPr>
      <w:bookmarkStart w:name="invalidation" w:id="1"/>
      <w:r>
        <w:rPr>
          <w:rFonts w:ascii="Calibri" w:cs="Calibri" w:eastAsia="Calibri" w:hAnsi="Calibri"/>
          <w:b/>
          <w:bCs/>
          <w:color w:val="2563EB"/>
          <w:sz w:val="26"/>
          <w:szCs w:val="26"/>
        </w:rPr>
        <w:t xml:space="preserve">5.2 Invalidation Flow</w:t>
      </w:r>
      <w:bookmarkEnd w:id="1"/>
    </w:p>
    <w:p>
      <w:pPr>
        <w:pStyle w:val="ListParagraph"/>
        <w:numPr>
          <w:ilvl w:val="0"/>
          <w:numId w:val="3"/>
        </w:numPr>
        <w:spacing w:after="40" w:before="40"/>
      </w:pPr>
      <w:r>
        <w:rPr>
          <w:rFonts w:ascii="Calibri" w:cs="Calibri" w:eastAsia="Calibri" w:hAnsi="Calibri"/>
          <w:color w:val="0F172A"/>
          <w:sz w:val="22"/>
          <w:szCs w:val="22"/>
        </w:rPr>
        <w:t xml:space="preserve">User edits document → document engine marks affected paragraph/cell/shape as dirty.</w:t>
      </w:r>
    </w:p>
    <w:p>
      <w:pPr>
        <w:pStyle w:val="ListParagraph"/>
        <w:numPr>
          <w:ilvl w:val="0"/>
          <w:numId w:val="3"/>
        </w:numPr>
        <w:spacing w:after="40" w:before="40"/>
      </w:pPr>
      <w:r>
        <w:rPr>
          <w:rFonts w:ascii="Calibri" w:cs="Calibri" w:eastAsia="Calibri" w:hAnsi="Calibri"/>
          <w:color w:val="0F172A"/>
          <w:sz w:val="22"/>
          <w:szCs w:val="22"/>
        </w:rPr>
        <w:t xml:space="preserve">Layout engine re-runs only dirty regions, producing new PaintBand objects with incremented LayoutVersion.</w:t>
      </w:r>
    </w:p>
    <w:p>
      <w:pPr>
        <w:pStyle w:val="ListParagraph"/>
        <w:numPr>
          <w:ilvl w:val="0"/>
          <w:numId w:val="3"/>
        </w:numPr>
        <w:spacing w:after="40" w:before="40"/>
      </w:pPr>
      <w:r>
        <w:rPr>
          <w:rFonts w:ascii="Calibri" w:cs="Calibri" w:eastAsia="Calibri" w:hAnsi="Calibri"/>
          <w:color w:val="0F172A"/>
          <w:sz w:val="22"/>
          <w:szCs w:val="22"/>
        </w:rPr>
        <w:t xml:space="preserve">New PaintScene is assembled: unchanged bands reuse the previous PaintBand instances (possible because they are immutable); dirty bands are replaced.</w:t>
      </w:r>
    </w:p>
    <w:p>
      <w:pPr>
        <w:pStyle w:val="ListParagraph"/>
        <w:numPr>
          <w:ilvl w:val="0"/>
          <w:numId w:val="3"/>
        </w:numPr>
        <w:spacing w:after="40" w:before="40"/>
      </w:pPr>
      <w:r>
        <w:rPr>
          <w:rFonts w:ascii="Calibri" w:cs="Calibri" w:eastAsia="Calibri" w:hAnsi="Calibri"/>
          <w:color w:val="0F172A"/>
          <w:sz w:val="22"/>
          <w:szCs w:val="22"/>
        </w:rPr>
        <w:t xml:space="preserve">TileRenderer compares LayoutVersion for each band against its tile cache entries. Only bands with new LayoutVersion trigger tile re-renders.</w:t>
      </w:r>
    </w:p>
    <w:p>
      <w:pPr>
        <w:pStyle w:val="ListParagraph"/>
        <w:numPr>
          <w:ilvl w:val="0"/>
          <w:numId w:val="3"/>
        </w:numPr>
        <w:spacing w:after="40" w:before="40"/>
      </w:pPr>
      <w:r>
        <w:rPr>
          <w:rFonts w:ascii="Calibri" w:cs="Calibri" w:eastAsia="Calibri" w:hAnsi="Calibri"/>
          <w:color w:val="0F172A"/>
          <w:sz w:val="22"/>
          <w:szCs w:val="22"/>
        </w:rPr>
        <w:t xml:space="preserve">UI is notified of invalidated tile regions and re-requests those tiles.</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1"/>
              <w:left w:val="single" w:color="166534" w:sz="16"/>
              <w:bottom w:val="single" w:color="166534" w:sz="1"/>
              <w:right w:val="single" w:color="166534" w:sz="1"/>
            </w:tcBorders>
            <w:shd w:fill="F0FDF4" w:val="clear"/>
            <w:tcMar>
              <w:top w:type="dxa" w:w="120"/>
              <w:left w:type="dxa" w:w="240"/>
              <w:bottom w:type="dxa" w:w="120"/>
              <w:right w:type="dxa" w:w="240"/>
            </w:tcMar>
          </w:tcPr>
          <w:p>
            <w:pPr>
              <w:spacing w:after="60"/>
            </w:pPr>
            <w:r>
              <w:rPr>
                <w:rFonts w:ascii="Calibri" w:cs="Calibri" w:eastAsia="Calibri" w:hAnsi="Calibri"/>
                <w:b/>
                <w:bCs/>
                <w:color w:val="166534"/>
                <w:sz w:val="21"/>
                <w:szCs w:val="21"/>
              </w:rPr>
              <w:t xml:space="preserve">Structural Sharing</w:t>
            </w:r>
          </w:p>
          <w:p>
            <w:pPr>
              <w:spacing w:after="36" w:before="0"/>
            </w:pPr>
            <w:r>
              <w:rPr>
                <w:rFonts w:ascii="Calibri" w:cs="Calibri" w:eastAsia="Calibri" w:hAnsi="Calibri"/>
                <w:color w:val="0F172A"/>
                <w:sz w:val="21"/>
                <w:szCs w:val="21"/>
              </w:rPr>
              <w:t xml:space="preserve">Because PaintBand is immutable, the previous PaintScene and new PaintScene can safely</w:t>
            </w:r>
          </w:p>
          <w:p>
            <w:pPr>
              <w:spacing w:after="36" w:before="0"/>
            </w:pPr>
            <w:r>
              <w:rPr>
                <w:rFonts w:ascii="Calibri" w:cs="Calibri" w:eastAsia="Calibri" w:hAnsi="Calibri"/>
                <w:color w:val="0F172A"/>
                <w:sz w:val="21"/>
                <w:szCs w:val="21"/>
              </w:rPr>
              <w:t xml:space="preserve">share PaintBand instances for unchanged bands. This is the same technique used by</w:t>
            </w:r>
          </w:p>
          <w:p>
            <w:pPr>
              <w:spacing w:after="36" w:before="0"/>
            </w:pPr>
            <w:r>
              <w:rPr>
                <w:rFonts w:ascii="Calibri" w:cs="Calibri" w:eastAsia="Calibri" w:hAnsi="Calibri"/>
                <w:color w:val="0F172A"/>
                <w:sz w:val="21"/>
                <w:szCs w:val="21"/>
              </w:rPr>
              <w:t xml:space="preserve">persistent/functional data structures (e.g. Clojure vectors, F# maps).</w:t>
            </w:r>
          </w:p>
          <w:p>
            <w:pPr>
              <w:spacing w:after="36" w:before="0"/>
            </w:pPr>
            <w:r>
              <w:rPr>
                <w:rFonts w:ascii="Calibri" w:cs="Calibri" w:eastAsia="Calibri" w:hAnsi="Calibri"/>
                <w:color w:val="0F172A"/>
                <w:sz w:val="21"/>
                <w:szCs w:val="21"/>
              </w:rPr>
              <w:t xml:space="preserve">No copying occurs — unchanged bands are simply referenced by both scene versions.</w:t>
            </w:r>
          </w:p>
        </w:tc>
      </w:tr>
    </w:tbl>
    <w:p>
      <w:r>
        <w:br w:type="page"/>
      </w:r>
    </w:p>
    <w:p>
      <w:pPr>
        <w:pStyle w:val="Heading1"/>
        <w:spacing w:after="140" w:before="360"/>
      </w:pPr>
      <w:bookmarkStart w:name="serialisation" w:id="1"/>
      <w:r>
        <w:rPr>
          <w:rFonts w:ascii="Calibri" w:cs="Calibri" w:eastAsia="Calibri" w:hAnsi="Calibri"/>
          <w:b/>
          <w:bCs/>
          <w:color w:val="1B2A4A"/>
          <w:sz w:val="34"/>
          <w:szCs w:val="34"/>
        </w:rPr>
        <w:t xml:space="preserve">6. Serialisation Strategy</w:t>
      </w:r>
      <w:bookmarkEnd w:id="1"/>
    </w:p>
    <w:p>
      <w:pPr>
        <w:spacing w:after="100" w:before="60"/>
      </w:pPr>
      <w:r>
        <w:rPr>
          <w:rFonts w:ascii="Calibri" w:cs="Calibri" w:eastAsia="Calibri" w:hAnsi="Calibri"/>
          <w:color w:val="0F172A"/>
          <w:sz w:val="22"/>
          <w:szCs w:val="22"/>
        </w:rPr>
        <w:t xml:space="preserve">PaintScene serialisation serves three purposes:</w:t>
      </w:r>
    </w:p>
    <w:p>
      <w:pPr>
        <w:spacing w:after="110" w:before="0"/>
      </w:pPr>
      <w:r>
        <w:t xml:space="preserve"/>
      </w:r>
    </w:p>
    <w:p>
      <w:pPr>
        <w:pStyle w:val="ListParagraph"/>
        <w:numPr>
          <w:ilvl w:val="0"/>
          <w:numId w:val="2"/>
        </w:numPr>
        <w:spacing w:after="40" w:before="40"/>
      </w:pPr>
      <w:r>
        <w:rPr>
          <w:rFonts w:ascii="Calibri" w:cs="Calibri" w:eastAsia="Calibri" w:hAnsi="Calibri"/>
          <w:color w:val="0F172A"/>
          <w:sz w:val="22"/>
          <w:szCs w:val="22"/>
        </w:rPr>
        <w:t xml:space="preserve">Golden file testing — serialise a known scene to JSON, commit to the repo, assert equality in CI.</w:t>
      </w:r>
    </w:p>
    <w:p>
      <w:pPr>
        <w:pStyle w:val="ListParagraph"/>
        <w:numPr>
          <w:ilvl w:val="0"/>
          <w:numId w:val="2"/>
        </w:numPr>
        <w:spacing w:after="40" w:before="40"/>
      </w:pPr>
      <w:r>
        <w:rPr>
          <w:rFonts w:ascii="Calibri" w:cs="Calibri" w:eastAsia="Calibri" w:hAnsi="Calibri"/>
          <w:color w:val="0F172A"/>
          <w:sz w:val="22"/>
          <w:szCs w:val="22"/>
        </w:rPr>
        <w:t xml:space="preserve">Tile cache persistence — optionally serialise scenes to disk so that re-opening a document can serve cached tiles immediately.</w:t>
      </w:r>
    </w:p>
    <w:p>
      <w:pPr>
        <w:pStyle w:val="ListParagraph"/>
        <w:numPr>
          <w:ilvl w:val="0"/>
          <w:numId w:val="2"/>
        </w:numPr>
        <w:spacing w:after="40" w:before="40"/>
      </w:pPr>
      <w:r>
        <w:rPr>
          <w:rFonts w:ascii="Calibri" w:cs="Calibri" w:eastAsia="Calibri" w:hAnsi="Calibri"/>
          <w:color w:val="0F172A"/>
          <w:sz w:val="22"/>
          <w:szCs w:val="22"/>
        </w:rPr>
        <w:t xml:space="preserve">Future out-of-process rendering server — a render worker in a separate process receives PaintScene over a pipe or socket.</w:t>
      </w:r>
    </w:p>
    <w:p>
      <w:pPr>
        <w:spacing w:after="110" w:before="0"/>
      </w:pPr>
      <w:r>
        <w:t xml:space="preserve"/>
      </w:r>
    </w:p>
    <w:p>
      <w:pPr>
        <w:pStyle w:val="Heading2"/>
        <w:spacing w:after="100" w:before="280"/>
      </w:pPr>
      <w:bookmarkStart w:name="json" w:id="1"/>
      <w:r>
        <w:rPr>
          <w:rFonts w:ascii="Calibri" w:cs="Calibri" w:eastAsia="Calibri" w:hAnsi="Calibri"/>
          <w:b/>
          <w:bCs/>
          <w:color w:val="2563EB"/>
          <w:sz w:val="26"/>
          <w:szCs w:val="26"/>
        </w:rPr>
        <w:t xml:space="preserve">6.1 Primary Format: System.Text.Json</w:t>
      </w:r>
      <w:bookmarkEnd w:id="1"/>
    </w:p>
    <w:p>
      <w:pPr>
        <w:spacing w:after="100" w:before="60"/>
      </w:pPr>
      <w:r>
        <w:rPr>
          <w:rFonts w:ascii="Calibri" w:cs="Calibri" w:eastAsia="Calibri" w:hAnsi="Calibri"/>
          <w:color w:val="0F172A"/>
          <w:sz w:val="22"/>
          <w:szCs w:val="22"/>
        </w:rPr>
        <w:t xml:space="preserve">The primary serialisation format is JSON via System.Text.Json with source-generated converters. Source generation is mandatory — reflection-based serialisation is not AOT-compatible on iOS.</w:t>
      </w:r>
    </w:p>
    <w:p>
      <w:pPr>
        <w:spacing w:after="110" w:before="0"/>
      </w:pPr>
      <w:r>
        <w:t xml:space="preserve"/>
      </w:r>
    </w:p>
    <w:p>
      <w:pPr>
        <w:spacing w:after="26" w:before="26"/>
        <w:ind w:left="560"/>
      </w:pPr>
      <w:r>
        <w:rPr>
          <w:rFonts w:ascii="Courier New" w:cs="Courier New" w:eastAsia="Courier New" w:hAnsi="Courier New"/>
          <w:color w:val="7C3AED"/>
          <w:sz w:val="19"/>
          <w:szCs w:val="19"/>
        </w:rPr>
        <w:t xml:space="preserve">[JsonSerializable(typeof(PaintScene))]</w:t>
      </w:r>
    </w:p>
    <w:p>
      <w:pPr>
        <w:spacing w:after="26" w:before="26"/>
        <w:ind w:left="560"/>
      </w:pPr>
      <w:r>
        <w:rPr>
          <w:rFonts w:ascii="Courier New" w:cs="Courier New" w:eastAsia="Courier New" w:hAnsi="Courier New"/>
          <w:color w:val="7C3AED"/>
          <w:sz w:val="19"/>
          <w:szCs w:val="19"/>
        </w:rPr>
        <w:t xml:space="preserve">[JsonSerializable(typeof(PaintBand))]</w:t>
      </w:r>
    </w:p>
    <w:p>
      <w:pPr>
        <w:spacing w:after="26" w:before="26"/>
        <w:ind w:left="560"/>
      </w:pPr>
      <w:r>
        <w:rPr>
          <w:rFonts w:ascii="Courier New" w:cs="Courier New" w:eastAsia="Courier New" w:hAnsi="Courier New"/>
          <w:color w:val="7C3AED"/>
          <w:sz w:val="19"/>
          <w:szCs w:val="19"/>
        </w:rPr>
        <w:t xml:space="preserve">[JsonSerializable(typeof(PaintNode))]       // abstract — needs type discriminator</w:t>
      </w:r>
    </w:p>
    <w:p>
      <w:pPr>
        <w:spacing w:after="26" w:before="26"/>
        <w:ind w:left="560"/>
      </w:pPr>
      <w:r>
        <w:rPr>
          <w:rFonts w:ascii="Courier New" w:cs="Courier New" w:eastAsia="Courier New" w:hAnsi="Courier New"/>
          <w:color w:val="7C3AED"/>
          <w:sz w:val="19"/>
          <w:szCs w:val="19"/>
        </w:rPr>
        <w:t xml:space="preserve">[JsonSerializable(typeof(GlyphRunNode))]</w:t>
      </w:r>
    </w:p>
    <w:p>
      <w:pPr>
        <w:spacing w:after="26" w:before="26"/>
        <w:ind w:left="560"/>
      </w:pPr>
      <w:r>
        <w:rPr>
          <w:rFonts w:ascii="Courier New" w:cs="Courier New" w:eastAsia="Courier New" w:hAnsi="Courier New"/>
          <w:color w:val="7C3AED"/>
          <w:sz w:val="19"/>
          <w:szCs w:val="19"/>
        </w:rPr>
        <w:t xml:space="preserve">[JsonSerializable(typeof(GroupNode))]</w:t>
      </w:r>
    </w:p>
    <w:p>
      <w:pPr>
        <w:spacing w:after="26" w:before="26"/>
        <w:ind w:left="560"/>
      </w:pPr>
      <w:r>
        <w:rPr>
          <w:rFonts w:ascii="Courier New" w:cs="Courier New" w:eastAsia="Courier New" w:hAnsi="Courier New"/>
          <w:color w:val="7C3AED"/>
          <w:sz w:val="19"/>
          <w:szCs w:val="19"/>
        </w:rPr>
        <w:t xml:space="preserve">// … one entry per concrete node type</w:t>
      </w:r>
    </w:p>
    <w:p>
      <w:pPr>
        <w:spacing w:after="26" w:before="26"/>
        <w:ind w:left="560"/>
      </w:pPr>
      <w:r>
        <w:rPr>
          <w:rFonts w:ascii="Courier New" w:cs="Courier New" w:eastAsia="Courier New" w:hAnsi="Courier New"/>
          <w:color w:val="7C3AED"/>
          <w:sz w:val="19"/>
          <w:szCs w:val="19"/>
        </w:rPr>
        <w:t xml:space="preserve">internal partial class PaintSceneJsonContext : JsonSerializerContext { }</w:t>
      </w:r>
    </w:p>
    <w:p>
      <w:pPr>
        <w:spacing w:after="110" w:before="0"/>
      </w:pPr>
      <w:r>
        <w:t xml:space="preserve"/>
      </w:r>
    </w:p>
    <w:p>
      <w:pPr>
        <w:spacing w:after="100" w:before="60"/>
      </w:pPr>
      <w:r>
        <w:rPr>
          <w:rFonts w:ascii="Calibri" w:cs="Calibri" w:eastAsia="Calibri" w:hAnsi="Calibri"/>
          <w:color w:val="0F172A"/>
          <w:sz w:val="22"/>
          <w:szCs w:val="22"/>
        </w:rPr>
        <w:t xml:space="preserve">The abstract PaintNode base type requires a type discriminator to survive a JSON round-trip. The discriminator is a "$type" field containing the short type name (e.g. "GlyphRunNode", "ImageNode"). A custom JsonConverter&lt;PaintNode&gt; reads the discriminator first, then deserialises the remainder of the object to the correct concrete type.</w:t>
      </w:r>
    </w:p>
    <w:p>
      <w:pPr>
        <w:spacing w:after="110" w:before="0"/>
      </w:pPr>
      <w:r>
        <w:t xml:space="preserve"/>
      </w:r>
    </w:p>
    <w:p>
      <w:pPr>
        <w:spacing w:after="26" w:before="26"/>
        <w:ind w:left="560"/>
      </w:pPr>
      <w:r>
        <w:rPr>
          <w:rFonts w:ascii="Courier New" w:cs="Courier New" w:eastAsia="Courier New" w:hAnsi="Courier New"/>
          <w:color w:val="7C3AED"/>
          <w:sz w:val="19"/>
          <w:szCs w:val="19"/>
        </w:rPr>
        <w:t xml:space="preserve">// Example serialised GlyphRunNode</w:t>
      </w:r>
    </w:p>
    <w:p>
      <w:pPr>
        <w:spacing w:after="26" w:before="26"/>
        <w:ind w:left="560"/>
      </w:pPr>
      <w:r>
        <w:rPr>
          <w:rFonts w:ascii="Courier New" w:cs="Courier New" w:eastAsia="Courier New" w:hAnsi="Courier New"/>
          <w:color w:val="7C3AED"/>
          <w:sz w:val="19"/>
          <w:szCs w:val="19"/>
        </w:rPr>
        <w:t xml:space="preserve">{</w:t>
      </w:r>
    </w:p>
    <w:p>
      <w:pPr>
        <w:spacing w:after="26" w:before="26"/>
        <w:ind w:left="560"/>
      </w:pPr>
      <w:r>
        <w:rPr>
          <w:rFonts w:ascii="Courier New" w:cs="Courier New" w:eastAsia="Courier New" w:hAnsi="Courier New"/>
          <w:color w:val="7C3AED"/>
          <w:sz w:val="19"/>
          <w:szCs w:val="19"/>
        </w:rPr>
        <w:t xml:space="preserve">  "$type": "GlyphRunNode",</w:t>
      </w:r>
    </w:p>
    <w:p>
      <w:pPr>
        <w:spacing w:after="26" w:before="26"/>
        <w:ind w:left="560"/>
      </w:pPr>
      <w:r>
        <w:rPr>
          <w:rFonts w:ascii="Courier New" w:cs="Courier New" w:eastAsia="Courier New" w:hAnsi="Courier New"/>
          <w:color w:val="7C3AED"/>
          <w:sz w:val="19"/>
          <w:szCs w:val="19"/>
        </w:rPr>
        <w:t xml:space="preserve">  "Bounds": { "X": 72.0, "Y": 144.0, "Width": 360.0, "Height": 18.0 },</w:t>
      </w:r>
    </w:p>
    <w:p>
      <w:pPr>
        <w:spacing w:after="26" w:before="26"/>
        <w:ind w:left="560"/>
      </w:pPr>
      <w:r>
        <w:rPr>
          <w:rFonts w:ascii="Courier New" w:cs="Courier New" w:eastAsia="Courier New" w:hAnsi="Courier New"/>
          <w:color w:val="7C3AED"/>
          <w:sz w:val="19"/>
          <w:szCs w:val="19"/>
        </w:rPr>
        <w:t xml:space="preserve">  "Origin": { "X": 72.0, "Y": 157.5 },</w:t>
      </w:r>
    </w:p>
    <w:p>
      <w:pPr>
        <w:spacing w:after="26" w:before="26"/>
        <w:ind w:left="560"/>
      </w:pPr>
      <w:r>
        <w:rPr>
          <w:rFonts w:ascii="Courier New" w:cs="Courier New" w:eastAsia="Courier New" w:hAnsi="Courier New"/>
          <w:color w:val="7C3AED"/>
          <w:sz w:val="19"/>
          <w:szCs w:val="19"/>
        </w:rPr>
        <w:t xml:space="preserve">  "Runs": [</w:t>
      </w:r>
    </w:p>
    <w:p>
      <w:pPr>
        <w:spacing w:after="26" w:before="26"/>
        <w:ind w:left="560"/>
      </w:pPr>
      <w:r>
        <w:rPr>
          <w:rFonts w:ascii="Courier New" w:cs="Courier New" w:eastAsia="Courier New" w:hAnsi="Courier New"/>
          <w:color w:val="7C3AED"/>
          <w:sz w:val="19"/>
          <w:szCs w:val="19"/>
        </w:rPr>
        <w:t xml:space="preserve">    {</w:t>
      </w:r>
    </w:p>
    <w:p>
      <w:pPr>
        <w:spacing w:after="26" w:before="26"/>
        <w:ind w:left="560"/>
      </w:pPr>
      <w:r>
        <w:rPr>
          <w:rFonts w:ascii="Courier New" w:cs="Courier New" w:eastAsia="Courier New" w:hAnsi="Courier New"/>
          <w:color w:val="7C3AED"/>
          <w:sz w:val="19"/>
          <w:szCs w:val="19"/>
        </w:rPr>
        <w:t xml:space="preserve">      "GlyphIds": [36, 72, 79, 79, 82],</w:t>
      </w:r>
    </w:p>
    <w:p>
      <w:pPr>
        <w:spacing w:after="26" w:before="26"/>
        <w:ind w:left="560"/>
      </w:pPr>
      <w:r>
        <w:rPr>
          <w:rFonts w:ascii="Courier New" w:cs="Courier New" w:eastAsia="Courier New" w:hAnsi="Courier New"/>
          <w:color w:val="7C3AED"/>
          <w:sz w:val="19"/>
          <w:szCs w:val="19"/>
        </w:rPr>
        <w:t xml:space="preserve">      "Advances": [8.4, 6.2, 3.8, 3.8, 5.1],</w:t>
      </w:r>
    </w:p>
    <w:p>
      <w:pPr>
        <w:spacing w:after="26" w:before="26"/>
        <w:ind w:left="560"/>
      </w:pPr>
      <w:r>
        <w:rPr>
          <w:rFonts w:ascii="Courier New" w:cs="Courier New" w:eastAsia="Courier New" w:hAnsi="Courier New"/>
          <w:color w:val="7C3AED"/>
          <w:sz w:val="19"/>
          <w:szCs w:val="19"/>
        </w:rPr>
        <w:t xml:space="preserve">      "Font": { "FamilyName": "Inter", "Weight": 400, "SizeInPoints": 12.0 }</w:t>
      </w:r>
    </w:p>
    <w:p>
      <w:pPr>
        <w:spacing w:after="26" w:before="26"/>
        <w:ind w:left="560"/>
      </w:pPr>
      <w:r>
        <w:rPr>
          <w:rFonts w:ascii="Courier New" w:cs="Courier New" w:eastAsia="Courier New" w:hAnsi="Courier New"/>
          <w:color w:val="7C3AED"/>
          <w:sz w:val="19"/>
          <w:szCs w:val="19"/>
        </w:rPr>
        <w:t xml:space="preserve">    }</w:t>
      </w:r>
    </w:p>
    <w:p>
      <w:pPr>
        <w:spacing w:after="26" w:before="26"/>
        <w:ind w:left="560"/>
      </w:pPr>
      <w:r>
        <w:rPr>
          <w:rFonts w:ascii="Courier New" w:cs="Courier New" w:eastAsia="Courier New" w:hAnsi="Courier New"/>
          <w:color w:val="7C3AED"/>
          <w:sz w:val="19"/>
          <w:szCs w:val="19"/>
        </w:rPr>
        <w:t xml:space="preserve">  ],</w:t>
      </w:r>
    </w:p>
    <w:p>
      <w:pPr>
        <w:spacing w:after="26" w:before="26"/>
        <w:ind w:left="560"/>
      </w:pPr>
      <w:r>
        <w:rPr>
          <w:rFonts w:ascii="Courier New" w:cs="Courier New" w:eastAsia="Courier New" w:hAnsi="Courier New"/>
          <w:color w:val="7C3AED"/>
          <w:sz w:val="19"/>
          <w:szCs w:val="19"/>
        </w:rPr>
        <w:t xml:space="preserve">  "Paint": { "Color": "FF0F172A", "Opacity": 1.0 }</w:t>
      </w:r>
    </w:p>
    <w:p>
      <w:pPr>
        <w:spacing w:after="26" w:before="26"/>
        <w:ind w:left="560"/>
      </w:pPr>
      <w:r>
        <w:rPr>
          <w:rFonts w:ascii="Courier New" w:cs="Courier New" w:eastAsia="Courier New" w:hAnsi="Courier New"/>
          <w:color w:val="7C3AED"/>
          <w:sz w:val="19"/>
          <w:szCs w:val="19"/>
        </w:rPr>
        <w:t xml:space="preserve">}</w:t>
      </w:r>
    </w:p>
    <w:p>
      <w:pPr>
        <w:spacing w:after="110" w:before="0"/>
      </w:pPr>
      <w:r>
        <w:t xml:space="preserve"/>
      </w:r>
    </w:p>
    <w:p>
      <w:pPr>
        <w:pStyle w:val="Heading2"/>
        <w:spacing w:after="100" w:before="280"/>
      </w:pPr>
      <w:bookmarkStart w:name="msgpack" w:id="1"/>
      <w:r>
        <w:rPr>
          <w:rFonts w:ascii="Calibri" w:cs="Calibri" w:eastAsia="Calibri" w:hAnsi="Calibri"/>
          <w:b/>
          <w:bCs/>
          <w:color w:val="2563EB"/>
          <w:sz w:val="26"/>
          <w:szCs w:val="26"/>
        </w:rPr>
        <w:t xml:space="preserve">6.2 Fast-Path Binary Format: MessagePack (Optional)</w:t>
      </w:r>
      <w:bookmarkEnd w:id="1"/>
    </w:p>
    <w:p>
      <w:pPr>
        <w:spacing w:after="100" w:before="60"/>
      </w:pPr>
      <w:r>
        <w:rPr>
          <w:rFonts w:ascii="Calibri" w:cs="Calibri" w:eastAsia="Calibri" w:hAnsi="Calibri"/>
          <w:color w:val="0F172A"/>
          <w:sz w:val="22"/>
          <w:szCs w:val="22"/>
        </w:rPr>
        <w:t xml:space="preserve">For the tile cache persistence scenario, JSON is verbose. An optional binary serialisation layer using MessagePack-CSharp (MIT) can be activated. It is not required for correctness and is disabled by default. The same source-generated contract is used; only the wire format differs.</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6"/>
              <w:bottom w:val="single" w:color="B45309" w:sz="1"/>
              <w:right w:val="single" w:color="B45309" w:sz="1"/>
            </w:tcBorders>
            <w:shd w:fill="FFF7ED" w:val="clear"/>
            <w:tcMar>
              <w:top w:type="dxa" w:w="120"/>
              <w:left w:type="dxa" w:w="240"/>
              <w:bottom w:type="dxa" w:w="120"/>
              <w:right w:type="dxa" w:w="240"/>
            </w:tcMar>
          </w:tcPr>
          <w:p>
            <w:pPr>
              <w:spacing w:after="60"/>
            </w:pPr>
            <w:r>
              <w:rPr>
                <w:rFonts w:ascii="Calibri" w:cs="Calibri" w:eastAsia="Calibri" w:hAnsi="Calibri"/>
                <w:b/>
                <w:bCs/>
                <w:color w:val="B45309"/>
                <w:sz w:val="21"/>
                <w:szCs w:val="21"/>
              </w:rPr>
              <w:t xml:space="preserve">When to Enable MessagePack</w:t>
            </w:r>
          </w:p>
          <w:p>
            <w:pPr>
              <w:spacing w:after="36" w:before="0"/>
            </w:pPr>
            <w:r>
              <w:rPr>
                <w:rFonts w:ascii="Calibri" w:cs="Calibri" w:eastAsia="Calibri" w:hAnsi="Calibri"/>
                <w:color w:val="0F172A"/>
                <w:sz w:val="21"/>
                <w:szCs w:val="21"/>
              </w:rPr>
              <w:t xml:space="preserve">Enable when profiling shows tile cache persistence is a bottleneck.</w:t>
            </w:r>
          </w:p>
          <w:p>
            <w:pPr>
              <w:spacing w:after="36" w:before="0"/>
            </w:pPr>
            <w:r>
              <w:rPr>
                <w:rFonts w:ascii="Calibri" w:cs="Calibri" w:eastAsia="Calibri" w:hAnsi="Calibri"/>
                <w:color w:val="0F172A"/>
                <w:sz w:val="21"/>
                <w:szCs w:val="21"/>
              </w:rPr>
              <w:t xml:space="preserve">Typical serialised PaintScene for a rich A4 page: ~120 KB JSON / ~35 KB MessagePack.</w:t>
            </w:r>
          </w:p>
          <w:p>
            <w:pPr>
              <w:spacing w:after="36" w:before="0"/>
            </w:pPr>
            <w:r>
              <w:rPr>
                <w:rFonts w:ascii="Calibri" w:cs="Calibri" w:eastAsia="Calibri" w:hAnsi="Calibri"/>
                <w:color w:val="0F172A"/>
                <w:sz w:val="21"/>
                <w:szCs w:val="21"/>
              </w:rPr>
              <w:t xml:space="preserve">Typical deserialisation time: ~4 ms JSON / ~0.8 ms MessagePack on desktop.</w:t>
            </w:r>
          </w:p>
          <w:p>
            <w:pPr>
              <w:spacing w:after="36" w:before="0"/>
            </w:pPr>
            <w:r>
              <w:rPr>
                <w:rFonts w:ascii="Calibri" w:cs="Calibri" w:eastAsia="Calibri" w:hAnsi="Calibri"/>
                <w:color w:val="0F172A"/>
                <w:sz w:val="21"/>
                <w:szCs w:val="21"/>
              </w:rPr>
              <w:t xml:space="preserve">For most use cases, JSON is adequate. MessagePack is an optional optimisation.</w:t>
            </w:r>
          </w:p>
        </w:tc>
      </w:tr>
    </w:tbl>
    <w:p>
      <w:pPr>
        <w:spacing w:after="110" w:before="0"/>
      </w:pPr>
      <w:r>
        <w:t xml:space="preserve"/>
      </w:r>
    </w:p>
    <w:p>
      <w:pPr>
        <w:pStyle w:val="Heading2"/>
        <w:spacing w:after="100" w:before="280"/>
      </w:pPr>
      <w:bookmarkStart w:name="imageref_serial" w:id="1"/>
      <w:r>
        <w:rPr>
          <w:rFonts w:ascii="Calibri" w:cs="Calibri" w:eastAsia="Calibri" w:hAnsi="Calibri"/>
          <w:b/>
          <w:bCs/>
          <w:color w:val="2563EB"/>
          <w:sz w:val="26"/>
          <w:szCs w:val="26"/>
        </w:rPr>
        <w:t xml:space="preserve">6.3 ImageRef in Serialisation</w:t>
      </w:r>
      <w:bookmarkEnd w:id="1"/>
    </w:p>
    <w:p>
      <w:pPr>
        <w:spacing w:after="100" w:before="60"/>
      </w:pPr>
      <w:r>
        <w:rPr>
          <w:rFonts w:ascii="Calibri" w:cs="Calibri" w:eastAsia="Calibri" w:hAnsi="Calibri"/>
          <w:color w:val="0F172A"/>
          <w:sz w:val="22"/>
          <w:szCs w:val="22"/>
        </w:rPr>
        <w:t xml:space="preserve">ImageRef serialises as its ContentHash string only. The ImageStore is NOT serialised with the scene. When deserialising a PaintScene, the caller must ensure the ImageStore is populated with the referenced images before rendering begins. This separation keeps serialised scenes small and portable.</w:t>
      </w:r>
    </w:p>
    <w:p>
      <w:pPr>
        <w:spacing w:after="110" w:before="0"/>
      </w:pPr>
      <w:r>
        <w:t xml:space="preserve"/>
      </w:r>
    </w:p>
    <w:p>
      <w:pPr>
        <w:pStyle w:val="Heading2"/>
        <w:spacing w:after="100" w:before="280"/>
      </w:pPr>
      <w:bookmarkStart w:name="path_serial" w:id="1"/>
      <w:r>
        <w:rPr>
          <w:rFonts w:ascii="Calibri" w:cs="Calibri" w:eastAsia="Calibri" w:hAnsi="Calibri"/>
          <w:b/>
          <w:bCs/>
          <w:color w:val="2563EB"/>
          <w:sz w:val="26"/>
          <w:szCs w:val="26"/>
        </w:rPr>
        <w:t xml:space="preserve">6.4 LokiPath in Serialisation</w:t>
      </w:r>
      <w:bookmarkEnd w:id="1"/>
    </w:p>
    <w:p>
      <w:pPr>
        <w:spacing w:after="100" w:before="60"/>
      </w:pPr>
      <w:r>
        <w:rPr>
          <w:rFonts w:ascii="Calibri" w:cs="Calibri" w:eastAsia="Calibri" w:hAnsi="Calibri"/>
          <w:color w:val="0F172A"/>
          <w:sz w:val="22"/>
          <w:szCs w:val="22"/>
        </w:rPr>
        <w:t xml:space="preserve">LokiPath serialises as its verb array. The cached SKPath is transient and not serialised. On deserialisation, the SKPath is re-created lazily on first render.</w:t>
      </w:r>
    </w:p>
    <w:p>
      <w:r>
        <w:br w:type="page"/>
      </w:r>
    </w:p>
    <w:p>
      <w:pPr>
        <w:pStyle w:val="Heading1"/>
        <w:spacing w:after="140" w:before="360"/>
      </w:pPr>
      <w:bookmarkStart w:name="granularity" w:id="1"/>
      <w:r>
        <w:rPr>
          <w:rFonts w:ascii="Calibri" w:cs="Calibri" w:eastAsia="Calibri" w:hAnsi="Calibri"/>
          <w:b/>
          <w:bCs/>
          <w:color w:val="1B2A4A"/>
          <w:sz w:val="34"/>
          <w:szCs w:val="34"/>
        </w:rPr>
        <w:t xml:space="preserve">7. Granularity Analysis</w:t>
      </w:r>
      <w:bookmarkEnd w:id="1"/>
    </w:p>
    <w:p>
      <w:pPr>
        <w:spacing w:after="100" w:before="60"/>
      </w:pPr>
      <w:r>
        <w:rPr>
          <w:rFonts w:ascii="Calibri" w:cs="Calibri" w:eastAsia="Calibri" w:hAnsi="Calibri"/>
          <w:color w:val="0F172A"/>
          <w:sz w:val="22"/>
          <w:szCs w:val="22"/>
        </w:rPr>
        <w:t xml:space="preserve">The choice of PaintNode granularity directly affects construction overhead, traversal time, and partial invalidation precision. Two extremes were considered and rejected; the chosen middle ground is justified here.</w:t>
      </w:r>
    </w:p>
    <w:p>
      <w:pPr>
        <w:spacing w:after="110" w:before="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600"/>
        <w:gridCol w:w="2000"/>
        <w:gridCol w:w="13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Granularity Level</w:t>
            </w:r>
          </w:p>
        </w:tc>
        <w:tc>
          <w:tcPr>
            <w:tcW w:type="dxa" w:w="20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Example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Construction Cost</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Traversal Cost</w:t>
            </w:r>
          </w:p>
        </w:tc>
        <w:tc>
          <w:tcPr>
            <w:tcW w:type="dxa" w:w="20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Invalidation Precision</w:t>
            </w:r>
          </w:p>
        </w:tc>
        <w:tc>
          <w:tcPr>
            <w:tcW w:type="dxa" w:w="13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Decision</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Per-glyph</w:t>
            </w:r>
          </w:p>
        </w:tc>
        <w:tc>
          <w:tcPr>
            <w:tcW w:type="dxa" w:w="2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One node per character</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Very High</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Very High</w:t>
            </w:r>
          </w:p>
        </w:tc>
        <w:tc>
          <w:tcPr>
            <w:tcW w:type="dxa" w:w="2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Maximum</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Rejected</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Per-run (chosen)</w:t>
            </w:r>
          </w:p>
        </w:tc>
        <w:tc>
          <w:tcPr>
            <w:tcW w:type="dxa" w:w="2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One GlyphRunNode per styled text run</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Low</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Low</w:t>
            </w:r>
          </w:p>
        </w:tc>
        <w:tc>
          <w:tcPr>
            <w:tcW w:type="dxa" w:w="2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Good</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Accepted</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Per-paragraph</w:t>
            </w:r>
          </w:p>
        </w:tc>
        <w:tc>
          <w:tcPr>
            <w:tcW w:type="dxa" w:w="2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One node per paragraph</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Very Low</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Very Low</w:t>
            </w:r>
          </w:p>
        </w:tc>
        <w:tc>
          <w:tcPr>
            <w:tcW w:type="dxa" w:w="2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Coarse</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Rejected</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Per-band</w:t>
            </w:r>
          </w:p>
        </w:tc>
        <w:tc>
          <w:tcPr>
            <w:tcW w:type="dxa" w:w="2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One node per 2-inch strip</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Minimal</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Minimal</w:t>
            </w:r>
          </w:p>
        </w:tc>
        <w:tc>
          <w:tcPr>
            <w:tcW w:type="dxa" w:w="2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None</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Too coarse — Rejected</w:t>
            </w:r>
          </w:p>
        </w:tc>
      </w:tr>
    </w:tbl>
    <w:p>
      <w:pPr>
        <w:spacing w:after="110" w:before="0"/>
      </w:pPr>
      <w:r>
        <w:t xml:space="preserve"/>
      </w:r>
    </w:p>
    <w:p>
      <w:pPr>
        <w:spacing w:after="100" w:before="60"/>
      </w:pPr>
      <w:r>
        <w:rPr>
          <w:rFonts w:ascii="Calibri" w:cs="Calibri" w:eastAsia="Calibri" w:hAnsi="Calibri"/>
          <w:color w:val="0F172A"/>
          <w:sz w:val="22"/>
          <w:szCs w:val="22"/>
        </w:rPr>
        <w:t xml:space="preserve">A "run" in this context is a maximal sequence of characters sharing the same font, size, colour, and language. A paragraph of mixed-weight text ("Hello world" where "world" is bold) produces two GlyphRunNodes. A paragraph of uniform text produces one. This is the same granularity used by DirectWrite, Core Text, and HarfBuzz — matching them minimises impedance mismatch between text shaping and scene construction.</w:t>
      </w:r>
    </w:p>
    <w:p>
      <w:pPr>
        <w:spacing w:after="110" w:before="0"/>
      </w:pPr>
      <w:r>
        <w:t xml:space="preserve"/>
      </w:r>
    </w:p>
    <w:p>
      <w:pPr>
        <w:pStyle w:val="Heading1"/>
        <w:spacing w:after="140" w:before="360"/>
      </w:pPr>
      <w:bookmarkStart w:name="threading" w:id="1"/>
      <w:r>
        <w:rPr>
          <w:rFonts w:ascii="Calibri" w:cs="Calibri" w:eastAsia="Calibri" w:hAnsi="Calibri"/>
          <w:b/>
          <w:bCs/>
          <w:color w:val="1B2A4A"/>
          <w:sz w:val="34"/>
          <w:szCs w:val="34"/>
        </w:rPr>
        <w:t xml:space="preserve">8. Thread Safety Guarantees</w:t>
      </w:r>
      <w:bookmarkEnd w:id="1"/>
    </w:p>
    <w:p>
      <w:pPr>
        <w:spacing w:after="100" w:before="60"/>
      </w:pPr>
      <w:r>
        <w:rPr>
          <w:rFonts w:ascii="Calibri" w:cs="Calibri" w:eastAsia="Calibri" w:hAnsi="Calibri"/>
          <w:color w:val="0F172A"/>
          <w:sz w:val="22"/>
          <w:szCs w:val="22"/>
        </w:rPr>
        <w:t xml:space="preserve">Because PaintScene is fully immutable, the following thread-safety properties hold without any locks:</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Operation</w:t>
            </w:r>
          </w:p>
        </w:tc>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Thread Safety</w:t>
            </w:r>
          </w:p>
        </w:tc>
        <w:tc>
          <w:tcPr>
            <w:tcW w:type="dxa" w:w="4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Notes</w:t>
            </w:r>
          </w:p>
        </w:tc>
      </w:tr>
      <w:tr>
        <w:tc>
          <w:tcPr>
            <w:tcW w:type="dxa" w:w="2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Reading any PaintNode field</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Fully thread-safe</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Immutable records; no torn reads possible for primitives</w:t>
            </w:r>
          </w:p>
        </w:tc>
      </w:tr>
      <w:tr>
        <w:tc>
          <w:tcPr>
            <w:tcW w:type="dxa" w:w="2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Iterating PaintBand.Nodes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Fully thread-safe</w:t>
            </w:r>
          </w:p>
        </w:tc>
        <w:tc>
          <w:tcPr>
            <w:tcW w:type="dxa" w:w="4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ImmutableArray enumerator is non-allocating and thread-safe</w:t>
            </w:r>
          </w:p>
        </w:tc>
      </w:tr>
      <w:tr>
        <w:tc>
          <w:tcPr>
            <w:tcW w:type="dxa" w:w="2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Sharing PaintScene between render threads</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Fully thread-safe</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Multiple tile renderers can traverse the same scene concurrently</w:t>
            </w:r>
          </w:p>
        </w:tc>
      </w:tr>
      <w:tr>
        <w:tc>
          <w:tcPr>
            <w:tcW w:type="dxa" w:w="2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Calling LokiPath.ToSkiaPath()</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Thread-safe after first call</w:t>
            </w:r>
          </w:p>
        </w:tc>
        <w:tc>
          <w:tcPr>
            <w:tcW w:type="dxa" w:w="4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Lazy&lt;T&gt; guarantees single initialisation; subsequent calls return cached value</w:t>
            </w:r>
          </w:p>
        </w:tc>
      </w:tr>
      <w:tr>
        <w:tc>
          <w:tcPr>
            <w:tcW w:type="dxa" w:w="2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Calling IImageStore.Decode()</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Requires external synchronisation</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ImageStore is mutable; callers must lock or use ConcurrentDictionary</w:t>
            </w:r>
          </w:p>
        </w:tc>
      </w:tr>
      <w:tr>
        <w:tc>
          <w:tcPr>
            <w:tcW w:type="dxa" w:w="2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Constructing a new PaintScene (layout engine)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Single-threaded</w:t>
            </w:r>
          </w:p>
        </w:tc>
        <w:tc>
          <w:tcPr>
            <w:tcW w:type="dxa" w:w="4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Only one layout pass runs at a time per document part</w:t>
            </w:r>
          </w:p>
        </w:tc>
      </w:tr>
    </w:tbl>
    <w:p>
      <w:pPr>
        <w:spacing w:after="110" w:before="0"/>
      </w:pPr>
      <w:r>
        <w:t xml:space="preserve"/>
      </w:r>
    </w:p>
    <w:p>
      <w:pPr>
        <w:pStyle w:val="Heading1"/>
        <w:spacing w:after="140" w:before="360"/>
      </w:pPr>
      <w:bookmarkStart w:name="alternatives" w:id="1"/>
      <w:r>
        <w:rPr>
          <w:rFonts w:ascii="Calibri" w:cs="Calibri" w:eastAsia="Calibri" w:hAnsi="Calibri"/>
          <w:b/>
          <w:bCs/>
          <w:color w:val="1B2A4A"/>
          <w:sz w:val="34"/>
          <w:szCs w:val="34"/>
        </w:rPr>
        <w:t xml:space="preserve">9. Alternatives Considered</w:t>
      </w:r>
      <w:bookmarkEnd w:id="1"/>
    </w:p>
    <w:p>
      <w:pPr>
        <w:pStyle w:val="Heading2"/>
        <w:spacing w:after="100" w:before="280"/>
      </w:pPr>
      <w:bookmarkStart w:name="alt1" w:id="1"/>
      <w:r>
        <w:rPr>
          <w:rFonts w:ascii="Calibri" w:cs="Calibri" w:eastAsia="Calibri" w:hAnsi="Calibri"/>
          <w:b/>
          <w:bCs/>
          <w:color w:val="2563EB"/>
          <w:sz w:val="26"/>
          <w:szCs w:val="26"/>
        </w:rPr>
        <w:t xml:space="preserve">9.1 Mutable PaintScene (Rejected)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6"/>
              <w:bottom w:val="single" w:color="991B1B" w:sz="1"/>
              <w:right w:val="single" w:color="991B1B" w:sz="1"/>
            </w:tcBorders>
            <w:shd w:fill="FEE2E2" w:val="clear"/>
            <w:tcMar>
              <w:top w:type="dxa" w:w="120"/>
              <w:left w:type="dxa" w:w="240"/>
              <w:bottom w:type="dxa" w:w="120"/>
              <w:right w:type="dxa" w:w="240"/>
            </w:tcMar>
          </w:tcPr>
          <w:p>
            <w:pPr>
              <w:spacing w:after="60"/>
            </w:pPr>
            <w:r>
              <w:rPr>
                <w:rFonts w:ascii="Calibri" w:cs="Calibri" w:eastAsia="Calibri" w:hAnsi="Calibri"/>
                <w:b/>
                <w:bCs/>
                <w:color w:val="991B1B"/>
                <w:sz w:val="21"/>
                <w:szCs w:val="21"/>
              </w:rPr>
              <w:t xml:space="preserve">Alternative: Mutable tree with dirty flags</w:t>
            </w:r>
          </w:p>
          <w:p>
            <w:pPr>
              <w:spacing w:after="36" w:before="0"/>
            </w:pPr>
            <w:r>
              <w:rPr>
                <w:rFonts w:ascii="Calibri" w:cs="Calibri" w:eastAsia="Calibri" w:hAnsi="Calibri"/>
                <w:color w:val="0F172A"/>
                <w:sz w:val="21"/>
                <w:szCs w:val="21"/>
              </w:rPr>
              <w:t xml:space="preserve">Use a mutable class hierarchy. Mark nodes dirty when the document changes.</w:t>
            </w:r>
          </w:p>
          <w:p>
            <w:pPr>
              <w:spacing w:after="36" w:before="0"/>
            </w:pPr>
            <w:r>
              <w:rPr>
                <w:rFonts w:ascii="Calibri" w:cs="Calibri" w:eastAsia="Calibri" w:hAnsi="Calibri"/>
                <w:color w:val="0F172A"/>
                <w:sz w:val="21"/>
                <w:szCs w:val="21"/>
              </w:rPr>
              <w:t xml:space="preserve">Re-render only dirty nodes.</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Rejected because:</w:t>
            </w:r>
          </w:p>
          <w:p>
            <w:pPr>
              <w:spacing w:after="36" w:before="0"/>
            </w:pPr>
            <w:r>
              <w:rPr>
                <w:rFonts w:ascii="Calibri" w:cs="Calibri" w:eastAsia="Calibri" w:hAnsi="Calibri"/>
                <w:color w:val="0F172A"/>
                <w:sz w:val="21"/>
                <w:szCs w:val="21"/>
              </w:rPr>
              <w:t xml:space="preserve">  • Sharing a mutable tree across render threads requires fine-grained locking,</w:t>
            </w:r>
          </w:p>
          <w:p>
            <w:pPr>
              <w:spacing w:after="36" w:before="0"/>
            </w:pPr>
            <w:r>
              <w:rPr>
                <w:rFonts w:ascii="Calibri" w:cs="Calibri" w:eastAsia="Calibri" w:hAnsi="Calibri"/>
                <w:color w:val="0F172A"/>
                <w:sz w:val="21"/>
                <w:szCs w:val="21"/>
              </w:rPr>
              <w:t xml:space="preserve">    introducing deadlock risk and high lock contention on every tile render.</w:t>
            </w:r>
          </w:p>
          <w:p>
            <w:pPr>
              <w:spacing w:after="36" w:before="0"/>
            </w:pPr>
            <w:r>
              <w:rPr>
                <w:rFonts w:ascii="Calibri" w:cs="Calibri" w:eastAsia="Calibri" w:hAnsi="Calibri"/>
                <w:color w:val="0F172A"/>
                <w:sz w:val="21"/>
                <w:szCs w:val="21"/>
              </w:rPr>
              <w:t xml:space="preserve">  • Dirty-flag propagation logic is complex and error-prone.</w:t>
            </w:r>
          </w:p>
          <w:p>
            <w:pPr>
              <w:spacing w:after="36" w:before="0"/>
            </w:pPr>
            <w:r>
              <w:rPr>
                <w:rFonts w:ascii="Calibri" w:cs="Calibri" w:eastAsia="Calibri" w:hAnsi="Calibri"/>
                <w:color w:val="0F172A"/>
                <w:sz w:val="21"/>
                <w:szCs w:val="21"/>
              </w:rPr>
              <w:t xml:space="preserve">  • Testing requires carefully constructing specific mutation sequences rather than</w:t>
            </w:r>
          </w:p>
          <w:p>
            <w:pPr>
              <w:spacing w:after="36" w:before="0"/>
            </w:pPr>
            <w:r>
              <w:rPr>
                <w:rFonts w:ascii="Calibri" w:cs="Calibri" w:eastAsia="Calibri" w:hAnsi="Calibri"/>
                <w:color w:val="0F172A"/>
                <w:sz w:val="21"/>
                <w:szCs w:val="21"/>
              </w:rPr>
              <w:t xml:space="preserve">    simply constructing a known immutable tree.</w:t>
            </w:r>
          </w:p>
          <w:p>
            <w:pPr>
              <w:spacing w:after="36" w:before="0"/>
            </w:pPr>
            <w:r>
              <w:rPr>
                <w:rFonts w:ascii="Calibri" w:cs="Calibri" w:eastAsia="Calibri" w:hAnsi="Calibri"/>
                <w:color w:val="0F172A"/>
                <w:sz w:val="21"/>
                <w:szCs w:val="21"/>
              </w:rPr>
              <w:t xml:space="preserve">  • Structural sharing (§5) is impossible with a mutable tree.</w:t>
            </w:r>
          </w:p>
        </w:tc>
      </w:tr>
    </w:tbl>
    <w:p>
      <w:pPr>
        <w:spacing w:after="110" w:before="0"/>
      </w:pPr>
      <w:r>
        <w:t xml:space="preserve"/>
      </w:r>
    </w:p>
    <w:p>
      <w:pPr>
        <w:pStyle w:val="Heading2"/>
        <w:spacing w:after="100" w:before="280"/>
      </w:pPr>
      <w:bookmarkStart w:name="alt2" w:id="1"/>
      <w:r>
        <w:rPr>
          <w:rFonts w:ascii="Calibri" w:cs="Calibri" w:eastAsia="Calibri" w:hAnsi="Calibri"/>
          <w:b/>
          <w:bCs/>
          <w:color w:val="2563EB"/>
          <w:sz w:val="26"/>
          <w:szCs w:val="26"/>
        </w:rPr>
        <w:t xml:space="preserve">9.2 Use SkiaSharp's SKPicture as the IR (Rejected)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6"/>
              <w:bottom w:val="single" w:color="991B1B" w:sz="1"/>
              <w:right w:val="single" w:color="991B1B" w:sz="1"/>
            </w:tcBorders>
            <w:shd w:fill="FEE2E2" w:val="clear"/>
            <w:tcMar>
              <w:top w:type="dxa" w:w="120"/>
              <w:left w:type="dxa" w:w="240"/>
              <w:bottom w:type="dxa" w:w="120"/>
              <w:right w:type="dxa" w:w="240"/>
            </w:tcMar>
          </w:tcPr>
          <w:p>
            <w:pPr>
              <w:spacing w:after="60"/>
            </w:pPr>
            <w:r>
              <w:rPr>
                <w:rFonts w:ascii="Calibri" w:cs="Calibri" w:eastAsia="Calibri" w:hAnsi="Calibri"/>
                <w:b/>
                <w:bCs/>
                <w:color w:val="991B1B"/>
                <w:sz w:val="21"/>
                <w:szCs w:val="21"/>
              </w:rPr>
              <w:t xml:space="preserve">Alternative: Record SKCanvas calls into SKPicture; replay for each tile</w:t>
            </w:r>
          </w:p>
          <w:p>
            <w:pPr>
              <w:spacing w:after="36" w:before="0"/>
            </w:pPr>
            <w:r>
              <w:rPr>
                <w:rFonts w:ascii="Calibri" w:cs="Calibri" w:eastAsia="Calibri" w:hAnsi="Calibri"/>
                <w:color w:val="0F172A"/>
                <w:sz w:val="21"/>
                <w:szCs w:val="21"/>
              </w:rPr>
              <w:t xml:space="preserve">SKPicture is Skia's built-in display list format. Record a full page once,</w:t>
            </w:r>
          </w:p>
          <w:p>
            <w:pPr>
              <w:spacing w:after="36" w:before="0"/>
            </w:pPr>
            <w:r>
              <w:rPr>
                <w:rFonts w:ascii="Calibri" w:cs="Calibri" w:eastAsia="Calibri" w:hAnsi="Calibri"/>
                <w:color w:val="0F172A"/>
                <w:sz w:val="21"/>
                <w:szCs w:val="21"/>
              </w:rPr>
              <w:t xml:space="preserve">then replay with a clip rect for each tile.</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Rejected because:</w:t>
            </w:r>
          </w:p>
          <w:p>
            <w:pPr>
              <w:spacing w:after="36" w:before="0"/>
            </w:pPr>
            <w:r>
              <w:rPr>
                <w:rFonts w:ascii="Calibri" w:cs="Calibri" w:eastAsia="Calibri" w:hAnsi="Calibri"/>
                <w:color w:val="0F172A"/>
                <w:sz w:val="21"/>
                <w:szCs w:val="21"/>
              </w:rPr>
              <w:t xml:space="preserve">  • SKPicture is an opaque blob — it cannot be inspected, diffed, or serialised</w:t>
            </w:r>
          </w:p>
          <w:p>
            <w:pPr>
              <w:spacing w:after="36" w:before="0"/>
            </w:pPr>
            <w:r>
              <w:rPr>
                <w:rFonts w:ascii="Calibri" w:cs="Calibri" w:eastAsia="Calibri" w:hAnsi="Calibri"/>
                <w:color w:val="0F172A"/>
                <w:sz w:val="21"/>
                <w:szCs w:val="21"/>
              </w:rPr>
              <w:t xml:space="preserve">    to a human-readable format for golden-file testing.</w:t>
            </w:r>
          </w:p>
          <w:p>
            <w:pPr>
              <w:spacing w:after="36" w:before="0"/>
            </w:pPr>
            <w:r>
              <w:rPr>
                <w:rFonts w:ascii="Calibri" w:cs="Calibri" w:eastAsia="Calibri" w:hAnsi="Calibri"/>
                <w:color w:val="0F172A"/>
                <w:sz w:val="21"/>
                <w:szCs w:val="21"/>
              </w:rPr>
              <w:t xml:space="preserve">  • Partial invalidation is impossible: a changed paragraph requires re-recording</w:t>
            </w:r>
          </w:p>
          <w:p>
            <w:pPr>
              <w:spacing w:after="36" w:before="0"/>
            </w:pPr>
            <w:r>
              <w:rPr>
                <w:rFonts w:ascii="Calibri" w:cs="Calibri" w:eastAsia="Calibri" w:hAnsi="Calibri"/>
                <w:color w:val="0F172A"/>
                <w:sz w:val="21"/>
                <w:szCs w:val="21"/>
              </w:rPr>
              <w:t xml:space="preserve">    the entire page, not just the affected bands.</w:t>
            </w:r>
          </w:p>
          <w:p>
            <w:pPr>
              <w:spacing w:after="36" w:before="0"/>
            </w:pPr>
            <w:r>
              <w:rPr>
                <w:rFonts w:ascii="Calibri" w:cs="Calibri" w:eastAsia="Calibri" w:hAnsi="Calibri"/>
                <w:color w:val="0F172A"/>
                <w:sz w:val="21"/>
                <w:szCs w:val="21"/>
              </w:rPr>
              <w:t xml:space="preserve">  • SKPicture cannot be serialised to JSON for use in future out-of-process renderers.</w:t>
            </w:r>
          </w:p>
          <w:p>
            <w:pPr>
              <w:spacing w:after="36" w:before="0"/>
            </w:pPr>
            <w:r>
              <w:rPr>
                <w:rFonts w:ascii="Calibri" w:cs="Calibri" w:eastAsia="Calibri" w:hAnsi="Calibri"/>
                <w:color w:val="0F172A"/>
                <w:sz w:val="21"/>
                <w:szCs w:val="21"/>
              </w:rPr>
              <w:t xml:space="preserve">  • SKPicture playback with a clip rect still iterates ALL draw calls internally,</w:t>
            </w:r>
          </w:p>
          <w:p>
            <w:pPr>
              <w:spacing w:after="36" w:before="0"/>
            </w:pPr>
            <w:r>
              <w:rPr>
                <w:rFonts w:ascii="Calibri" w:cs="Calibri" w:eastAsia="Calibri" w:hAnsi="Calibri"/>
                <w:color w:val="0F172A"/>
                <w:sz w:val="21"/>
                <w:szCs w:val="21"/>
              </w:rPr>
              <w:t xml:space="preserve">    even those outside the clip — it does not skip off-screen content.</w:t>
            </w:r>
          </w:p>
          <w:p>
            <w:pPr>
              <w:spacing w:after="36" w:before="0"/>
            </w:pPr>
            <w:r>
              <w:rPr>
                <w:rFonts w:ascii="Calibri" w:cs="Calibri" w:eastAsia="Calibri" w:hAnsi="Calibri"/>
                <w:color w:val="0F172A"/>
                <w:sz w:val="21"/>
                <w:szCs w:val="21"/>
              </w:rPr>
              <w:t xml:space="preserve">  • SKPicture provides no visibility into what text, images, or paths are present,</w:t>
            </w:r>
          </w:p>
          <w:p>
            <w:pPr>
              <w:spacing w:after="36" w:before="0"/>
            </w:pPr>
            <w:r>
              <w:rPr>
                <w:rFonts w:ascii="Calibri" w:cs="Calibri" w:eastAsia="Calibri" w:hAnsi="Calibri"/>
                <w:color w:val="0F172A"/>
                <w:sz w:val="21"/>
                <w:szCs w:val="21"/>
              </w:rPr>
              <w:t xml:space="preserve">    making accessibility tree generation (Phase 8) impossible from the IR alone.</w:t>
            </w:r>
          </w:p>
        </w:tc>
      </w:tr>
    </w:tbl>
    <w:p>
      <w:pPr>
        <w:spacing w:after="110" w:before="0"/>
      </w:pPr>
      <w:r>
        <w:t xml:space="preserve"/>
      </w:r>
    </w:p>
    <w:p>
      <w:pPr>
        <w:pStyle w:val="Heading2"/>
        <w:spacing w:after="100" w:before="280"/>
      </w:pPr>
      <w:bookmarkStart w:name="alt3" w:id="1"/>
      <w:r>
        <w:rPr>
          <w:rFonts w:ascii="Calibri" w:cs="Calibri" w:eastAsia="Calibri" w:hAnsi="Calibri"/>
          <w:b/>
          <w:bCs/>
          <w:color w:val="2563EB"/>
          <w:sz w:val="26"/>
          <w:szCs w:val="26"/>
        </w:rPr>
        <w:t xml:space="preserve">9.3 Protobuf as Serialisation Format (Rejected)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6"/>
              <w:bottom w:val="single" w:color="991B1B" w:sz="1"/>
              <w:right w:val="single" w:color="991B1B" w:sz="1"/>
            </w:tcBorders>
            <w:shd w:fill="FEE2E2" w:val="clear"/>
            <w:tcMar>
              <w:top w:type="dxa" w:w="120"/>
              <w:left w:type="dxa" w:w="240"/>
              <w:bottom w:type="dxa" w:w="120"/>
              <w:right w:type="dxa" w:w="240"/>
            </w:tcMar>
          </w:tcPr>
          <w:p>
            <w:pPr>
              <w:spacing w:after="60"/>
            </w:pPr>
            <w:r>
              <w:rPr>
                <w:rFonts w:ascii="Calibri" w:cs="Calibri" w:eastAsia="Calibri" w:hAnsi="Calibri"/>
                <w:b/>
                <w:bCs/>
                <w:color w:val="991B1B"/>
                <w:sz w:val="21"/>
                <w:szCs w:val="21"/>
              </w:rPr>
              <w:t xml:space="preserve">Alternative: Use Protobuf (protobuf-net or Google.Protobuf) for serialisation</w:t>
            </w:r>
          </w:p>
          <w:p>
            <w:pPr>
              <w:spacing w:after="36" w:before="0"/>
            </w:pPr>
            <w:r>
              <w:rPr>
                <w:rFonts w:ascii="Calibri" w:cs="Calibri" w:eastAsia="Calibri" w:hAnsi="Calibri"/>
                <w:color w:val="0F172A"/>
                <w:sz w:val="21"/>
                <w:szCs w:val="21"/>
              </w:rPr>
              <w:t xml:space="preserve">Define PaintScene as a .proto schema; generate C# classes.</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Rejected because:</w:t>
            </w:r>
          </w:p>
          <w:p>
            <w:pPr>
              <w:spacing w:after="36" w:before="0"/>
            </w:pPr>
            <w:r>
              <w:rPr>
                <w:rFonts w:ascii="Calibri" w:cs="Calibri" w:eastAsia="Calibri" w:hAnsi="Calibri"/>
                <w:color w:val="0F172A"/>
                <w:sz w:val="21"/>
                <w:szCs w:val="21"/>
              </w:rPr>
              <w:t xml:space="preserve">  • .proto-generated classes are mutable — conflicts with the immutability contract.</w:t>
            </w:r>
          </w:p>
          <w:p>
            <w:pPr>
              <w:spacing w:after="36" w:before="0"/>
            </w:pPr>
            <w:r>
              <w:rPr>
                <w:rFonts w:ascii="Calibri" w:cs="Calibri" w:eastAsia="Calibri" w:hAnsi="Calibri"/>
                <w:color w:val="0F172A"/>
                <w:sz w:val="21"/>
                <w:szCs w:val="21"/>
              </w:rPr>
              <w:t xml:space="preserve">  • Requires a separate schema file alongside the C# types, creating a maintenance</w:t>
            </w:r>
          </w:p>
          <w:p>
            <w:pPr>
              <w:spacing w:after="36" w:before="0"/>
            </w:pPr>
            <w:r>
              <w:rPr>
                <w:rFonts w:ascii="Calibri" w:cs="Calibri" w:eastAsia="Calibri" w:hAnsi="Calibri"/>
                <w:color w:val="0F172A"/>
                <w:sz w:val="21"/>
                <w:szCs w:val="21"/>
              </w:rPr>
              <w:t xml:space="preserve">    synchronisation burden.</w:t>
            </w:r>
          </w:p>
          <w:p>
            <w:pPr>
              <w:spacing w:after="36" w:before="0"/>
            </w:pPr>
            <w:r>
              <w:rPr>
                <w:rFonts w:ascii="Calibri" w:cs="Calibri" w:eastAsia="Calibri" w:hAnsi="Calibri"/>
                <w:color w:val="0F172A"/>
                <w:sz w:val="21"/>
                <w:szCs w:val="21"/>
              </w:rPr>
              <w:t xml:space="preserve">  • System.Text.Json with source generation is already AOT-compatible and available</w:t>
            </w:r>
          </w:p>
          <w:p>
            <w:pPr>
              <w:spacing w:after="36" w:before="0"/>
            </w:pPr>
            <w:r>
              <w:rPr>
                <w:rFonts w:ascii="Calibri" w:cs="Calibri" w:eastAsia="Calibri" w:hAnsi="Calibri"/>
                <w:color w:val="0F172A"/>
                <w:sz w:val="21"/>
                <w:szCs w:val="21"/>
              </w:rPr>
              <w:t xml:space="preserve">    in the .NET 9 runtime with zero additional dependencies.</w:t>
            </w:r>
          </w:p>
          <w:p>
            <w:pPr>
              <w:spacing w:after="36" w:before="0"/>
            </w:pPr>
            <w:r>
              <w:rPr>
                <w:rFonts w:ascii="Calibri" w:cs="Calibri" w:eastAsia="Calibri" w:hAnsi="Calibri"/>
                <w:color w:val="0F172A"/>
                <w:sz w:val="21"/>
                <w:szCs w:val="21"/>
              </w:rPr>
              <w:t xml:space="preserve">  • The optional MessagePack fast path (§6.2) covers the performance use case.</w:t>
            </w:r>
          </w:p>
        </w:tc>
      </w:tr>
    </w:tbl>
    <w:p>
      <w:pPr>
        <w:spacing w:after="110" w:before="0"/>
      </w:pPr>
      <w:r>
        <w:t xml:space="preserve"/>
      </w:r>
    </w:p>
    <w:p>
      <w:pPr>
        <w:pStyle w:val="Heading2"/>
        <w:spacing w:after="100" w:before="280"/>
      </w:pPr>
      <w:bookmarkStart w:name="alt4" w:id="1"/>
      <w:r>
        <w:rPr>
          <w:rFonts w:ascii="Calibri" w:cs="Calibri" w:eastAsia="Calibri" w:hAnsi="Calibri"/>
          <w:b/>
          <w:bCs/>
          <w:color w:val="2563EB"/>
          <w:sz w:val="26"/>
          <w:szCs w:val="26"/>
        </w:rPr>
        <w:t xml:space="preserve">9.4 F# Discriminated Unions (Deferred)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1"/>
              <w:left w:val="single" w:color="166534" w:sz="16"/>
              <w:bottom w:val="single" w:color="166534" w:sz="1"/>
              <w:right w:val="single" w:color="166534" w:sz="1"/>
            </w:tcBorders>
            <w:shd w:fill="F0FDF4" w:val="clear"/>
            <w:tcMar>
              <w:top w:type="dxa" w:w="120"/>
              <w:left w:type="dxa" w:w="240"/>
              <w:bottom w:type="dxa" w:w="120"/>
              <w:right w:type="dxa" w:w="240"/>
            </w:tcMar>
          </w:tcPr>
          <w:p>
            <w:pPr>
              <w:spacing w:after="60"/>
            </w:pPr>
            <w:r>
              <w:rPr>
                <w:rFonts w:ascii="Calibri" w:cs="Calibri" w:eastAsia="Calibri" w:hAnsi="Calibri"/>
                <w:b/>
                <w:bCs/>
                <w:color w:val="166534"/>
                <w:sz w:val="21"/>
                <w:szCs w:val="21"/>
              </w:rPr>
              <w:t xml:space="preserve">Alternative: Implement PaintNode as F# discriminated unions</w:t>
            </w:r>
          </w:p>
          <w:p>
            <w:pPr>
              <w:spacing w:after="36" w:before="0"/>
            </w:pPr>
            <w:r>
              <w:rPr>
                <w:rFonts w:ascii="Calibri" w:cs="Calibri" w:eastAsia="Calibri" w:hAnsi="Calibri"/>
                <w:color w:val="0F172A"/>
                <w:sz w:val="21"/>
                <w:szCs w:val="21"/>
              </w:rPr>
              <w:t xml:space="preserve">F# DUs are the natural expression of a sealed record union. Pattern matching is</w:t>
            </w:r>
          </w:p>
          <w:p>
            <w:pPr>
              <w:spacing w:after="36" w:before="0"/>
            </w:pPr>
            <w:r>
              <w:rPr>
                <w:rFonts w:ascii="Calibri" w:cs="Calibri" w:eastAsia="Calibri" w:hAnsi="Calibri"/>
                <w:color w:val="0F172A"/>
                <w:sz w:val="21"/>
                <w:szCs w:val="21"/>
              </w:rPr>
              <w:t xml:space="preserve">exhaustive by default, which is exactly what the renderer needs.</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Not rejected — deferred. The C# sealed record hierarchy is functionally equivalent</w:t>
            </w:r>
          </w:p>
          <w:p>
            <w:pPr>
              <w:spacing w:after="36" w:before="0"/>
            </w:pPr>
            <w:r>
              <w:rPr>
                <w:rFonts w:ascii="Calibri" w:cs="Calibri" w:eastAsia="Calibri" w:hAnsi="Calibri"/>
                <w:color w:val="0F172A"/>
                <w:sz w:val="21"/>
                <w:szCs w:val="21"/>
              </w:rPr>
              <w:t xml:space="preserve">and is chosen for Phase 1 because the broader team is more familiar with C#.</w:t>
            </w:r>
          </w:p>
          <w:p>
            <w:pPr>
              <w:spacing w:after="36" w:before="0"/>
            </w:pPr>
            <w:r>
              <w:rPr>
                <w:rFonts w:ascii="Calibri" w:cs="Calibri" w:eastAsia="Calibri" w:hAnsi="Calibri"/>
                <w:color w:val="0F172A"/>
                <w:sz w:val="21"/>
                <w:szCs w:val="21"/>
              </w:rPr>
              <w:t xml:space="preserve">If a future team member with F# expertise joins, migrating AppThere.Loki.Skia</w:t>
            </w:r>
          </w:p>
          <w:p>
            <w:pPr>
              <w:spacing w:after="36" w:before="0"/>
            </w:pPr>
            <w:r>
              <w:rPr>
                <w:rFonts w:ascii="Calibri" w:cs="Calibri" w:eastAsia="Calibri" w:hAnsi="Calibri"/>
                <w:color w:val="0F172A"/>
                <w:sz w:val="21"/>
                <w:szCs w:val="21"/>
              </w:rPr>
              <w:t xml:space="preserve">to F# is a valid future ADR. The public API surface of the assembly would not change.</w:t>
            </w:r>
          </w:p>
        </w:tc>
      </w:tr>
    </w:tbl>
    <w:p>
      <w:r>
        <w:br w:type="page"/>
      </w:r>
    </w:p>
    <w:p>
      <w:pPr>
        <w:pStyle w:val="Heading1"/>
        <w:spacing w:after="140" w:before="360"/>
      </w:pPr>
      <w:bookmarkStart w:name="consequences" w:id="1"/>
      <w:r>
        <w:rPr>
          <w:rFonts w:ascii="Calibri" w:cs="Calibri" w:eastAsia="Calibri" w:hAnsi="Calibri"/>
          <w:b/>
          <w:bCs/>
          <w:color w:val="1B2A4A"/>
          <w:sz w:val="34"/>
          <w:szCs w:val="34"/>
        </w:rPr>
        <w:t xml:space="preserve">10. Consequences</w:t>
      </w:r>
      <w:bookmarkEnd w:id="1"/>
    </w:p>
    <w:p>
      <w:pPr>
        <w:pStyle w:val="Heading2"/>
        <w:spacing w:after="100" w:before="280"/>
      </w:pPr>
      <w:bookmarkStart w:name="pos" w:id="1"/>
      <w:r>
        <w:rPr>
          <w:rFonts w:ascii="Calibri" w:cs="Calibri" w:eastAsia="Calibri" w:hAnsi="Calibri"/>
          <w:b/>
          <w:bCs/>
          <w:color w:val="2563EB"/>
          <w:sz w:val="26"/>
          <w:szCs w:val="26"/>
        </w:rPr>
        <w:t xml:space="preserve">10.1 Positive</w:t>
      </w:r>
      <w:bookmarkEnd w:id="1"/>
    </w:p>
    <w:p>
      <w:pPr>
        <w:pStyle w:val="ListParagraph"/>
        <w:numPr>
          <w:ilvl w:val="0"/>
          <w:numId w:val="2"/>
        </w:numPr>
        <w:spacing w:after="40" w:before="40"/>
      </w:pPr>
      <w:r>
        <w:rPr>
          <w:rFonts w:ascii="Calibri" w:cs="Calibri" w:eastAsia="Calibri" w:hAnsi="Calibri"/>
          <w:color w:val="0F172A"/>
          <w:sz w:val="22"/>
          <w:szCs w:val="22"/>
        </w:rPr>
        <w:t xml:space="preserve">Thread safety without locks: the renderer can dispatch tile renders to any thread pool worker with no synchronisation overhead.</w:t>
      </w:r>
    </w:p>
    <w:p>
      <w:pPr>
        <w:pStyle w:val="ListParagraph"/>
        <w:numPr>
          <w:ilvl w:val="0"/>
          <w:numId w:val="2"/>
        </w:numPr>
        <w:spacing w:after="40" w:before="40"/>
      </w:pPr>
      <w:r>
        <w:rPr>
          <w:rFonts w:ascii="Calibri" w:cs="Calibri" w:eastAsia="Calibri" w:hAnsi="Calibri"/>
          <w:color w:val="0F172A"/>
          <w:sz w:val="22"/>
          <w:szCs w:val="22"/>
        </w:rPr>
        <w:t xml:space="preserve">Structural sharing keeps memory usage proportional to what changed, not what was rendered.</w:t>
      </w:r>
    </w:p>
    <w:p>
      <w:pPr>
        <w:pStyle w:val="ListParagraph"/>
        <w:numPr>
          <w:ilvl w:val="0"/>
          <w:numId w:val="2"/>
        </w:numPr>
        <w:spacing w:after="40" w:before="40"/>
      </w:pPr>
      <w:r>
        <w:rPr>
          <w:rFonts w:ascii="Calibri" w:cs="Calibri" w:eastAsia="Calibri" w:hAnsi="Calibri"/>
          <w:color w:val="0F172A"/>
          <w:sz w:val="22"/>
          <w:szCs w:val="22"/>
        </w:rPr>
        <w:t xml:space="preserve">Golden-file testing is straightforward: construct a PaintScene in code, serialise to JSON, commit the JSON, assert equality. No rendering required to verify the layout engine's output.</w:t>
      </w:r>
    </w:p>
    <w:p>
      <w:pPr>
        <w:pStyle w:val="ListParagraph"/>
        <w:numPr>
          <w:ilvl w:val="0"/>
          <w:numId w:val="2"/>
        </w:numPr>
        <w:spacing w:after="40" w:before="40"/>
      </w:pPr>
      <w:r>
        <w:rPr>
          <w:rFonts w:ascii="Calibri" w:cs="Calibri" w:eastAsia="Calibri" w:hAnsi="Calibri"/>
          <w:color w:val="0F172A"/>
          <w:sz w:val="22"/>
          <w:szCs w:val="22"/>
        </w:rPr>
        <w:t xml:space="preserve">The type discriminator pattern for abstract PaintNode gives exhaustive switch coverage in C# 8+ pattern matching — the compiler warns if a new node type is added without a handler.</w:t>
      </w:r>
    </w:p>
    <w:p>
      <w:pPr>
        <w:pStyle w:val="ListParagraph"/>
        <w:numPr>
          <w:ilvl w:val="0"/>
          <w:numId w:val="2"/>
        </w:numPr>
        <w:spacing w:after="40" w:before="40"/>
      </w:pPr>
      <w:r>
        <w:rPr>
          <w:rFonts w:ascii="Calibri" w:cs="Calibri" w:eastAsia="Calibri" w:hAnsi="Calibri"/>
          <w:color w:val="0F172A"/>
          <w:sz w:val="22"/>
          <w:szCs w:val="22"/>
        </w:rPr>
        <w:t xml:space="preserve">ImageRef content addressing means duplicate images (e.g. a logo on every page) are stored once. For a 50-page document with a 200 KB logo, this saves ~10 MB of in-memory duplication.</w:t>
      </w:r>
    </w:p>
    <w:p>
      <w:pPr>
        <w:spacing w:after="110" w:before="0"/>
      </w:pPr>
      <w:r>
        <w:t xml:space="preserve"/>
      </w:r>
    </w:p>
    <w:p>
      <w:pPr>
        <w:pStyle w:val="Heading2"/>
        <w:spacing w:after="100" w:before="280"/>
      </w:pPr>
      <w:bookmarkStart w:name="neg" w:id="1"/>
      <w:r>
        <w:rPr>
          <w:rFonts w:ascii="Calibri" w:cs="Calibri" w:eastAsia="Calibri" w:hAnsi="Calibri"/>
          <w:b/>
          <w:bCs/>
          <w:color w:val="2563EB"/>
          <w:sz w:val="26"/>
          <w:szCs w:val="26"/>
        </w:rPr>
        <w:t xml:space="preserve">10.2 Negative / Trade-offs</w:t>
      </w:r>
      <w:bookmarkEnd w:id="1"/>
    </w:p>
    <w:p>
      <w:pPr>
        <w:pStyle w:val="ListParagraph"/>
        <w:numPr>
          <w:ilvl w:val="0"/>
          <w:numId w:val="2"/>
        </w:numPr>
        <w:spacing w:after="40" w:before="40"/>
      </w:pPr>
      <w:r>
        <w:rPr>
          <w:rFonts w:ascii="Calibri" w:cs="Calibri" w:eastAsia="Calibri" w:hAnsi="Calibri"/>
          <w:color w:val="0F172A"/>
          <w:sz w:val="22"/>
          <w:szCs w:val="22"/>
        </w:rPr>
        <w:t xml:space="preserve">ImmutableArray construction requires a builder — more verbose than List&lt;T&gt; append. The layout engine must be written with this pattern in mind.</w:t>
      </w:r>
    </w:p>
    <w:p>
      <w:pPr>
        <w:pStyle w:val="ListParagraph"/>
        <w:numPr>
          <w:ilvl w:val="0"/>
          <w:numId w:val="2"/>
        </w:numPr>
        <w:spacing w:after="40" w:before="40"/>
      </w:pPr>
      <w:r>
        <w:rPr>
          <w:rFonts w:ascii="Calibri" w:cs="Calibri" w:eastAsia="Calibri" w:hAnsi="Calibri"/>
          <w:color w:val="0F172A"/>
          <w:sz w:val="22"/>
          <w:szCs w:val="22"/>
        </w:rPr>
        <w:t xml:space="preserve">With-expressions create copies of records for 'modification'. For large GroupNodes with many children, this can produce GC pressure if used carelessly inside hot loops. The layout engine must build nodes bottom-up using builders, not by mutation.</w:t>
      </w:r>
    </w:p>
    <w:p>
      <w:pPr>
        <w:pStyle w:val="ListParagraph"/>
        <w:numPr>
          <w:ilvl w:val="0"/>
          <w:numId w:val="2"/>
        </w:numPr>
        <w:spacing w:after="40" w:before="40"/>
      </w:pPr>
      <w:r>
        <w:rPr>
          <w:rFonts w:ascii="Calibri" w:cs="Calibri" w:eastAsia="Calibri" w:hAnsi="Calibri"/>
          <w:color w:val="0F172A"/>
          <w:sz w:val="22"/>
          <w:szCs w:val="22"/>
        </w:rPr>
        <w:t xml:space="preserve">The abstract PaintNode type discriminator in System.Text.Json requires a custom JsonConverter — approximately 80 lines of boilerplate. This is written once and maintained centrally.</w:t>
      </w:r>
    </w:p>
    <w:p>
      <w:pPr>
        <w:pStyle w:val="ListParagraph"/>
        <w:numPr>
          <w:ilvl w:val="0"/>
          <w:numId w:val="2"/>
        </w:numPr>
        <w:spacing w:after="40" w:before="40"/>
      </w:pPr>
      <w:r>
        <w:rPr>
          <w:rFonts w:ascii="Calibri" w:cs="Calibri" w:eastAsia="Calibri" w:hAnsi="Calibri"/>
          <w:color w:val="0F172A"/>
          <w:sz w:val="22"/>
          <w:szCs w:val="22"/>
        </w:rPr>
        <w:t xml:space="preserve">IImageStore requires external synchronisation. Callers (TileRenderer) are responsible for locking. This is documented by interface contract but cannot be enforced by the type system.</w:t>
      </w:r>
    </w:p>
    <w:p>
      <w:pPr>
        <w:spacing w:after="110" w:before="0"/>
      </w:pPr>
      <w:r>
        <w:t xml:space="preserve"/>
      </w:r>
    </w:p>
    <w:p>
      <w:pPr>
        <w:pStyle w:val="Heading2"/>
        <w:spacing w:after="100" w:before="280"/>
      </w:pPr>
      <w:bookmarkStart w:name="impact" w:id="1"/>
      <w:r>
        <w:rPr>
          <w:rFonts w:ascii="Calibri" w:cs="Calibri" w:eastAsia="Calibri" w:hAnsi="Calibri"/>
          <w:b/>
          <w:bCs/>
          <w:color w:val="2563EB"/>
          <w:sz w:val="26"/>
          <w:szCs w:val="26"/>
        </w:rPr>
        <w:t xml:space="preserve">10.3 Impact on Phase 1</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Phase 1 Scope</w:t>
            </w:r>
          </w:p>
          <w:p>
            <w:pPr>
              <w:spacing w:after="36" w:before="0"/>
            </w:pPr>
            <w:r>
              <w:rPr>
                <w:rFonts w:ascii="Calibri" w:cs="Calibri" w:eastAsia="Calibri" w:hAnsi="Calibri"/>
                <w:color w:val="0F172A"/>
                <w:sz w:val="21"/>
                <w:szCs w:val="21"/>
              </w:rPr>
              <w:t xml:space="preserve">Phase 1 must implement the complete PaintNode type hierarchy (§3).</w:t>
            </w:r>
          </w:p>
          <w:p>
            <w:pPr>
              <w:spacing w:after="36" w:before="0"/>
            </w:pPr>
            <w:r>
              <w:rPr>
                <w:rFonts w:ascii="Calibri" w:cs="Calibri" w:eastAsia="Calibri" w:hAnsi="Calibri"/>
                <w:color w:val="0F172A"/>
                <w:sz w:val="21"/>
                <w:szCs w:val="21"/>
              </w:rPr>
              <w:t xml:space="preserve">Phase 1 must implement LokiPath with its verb array and lazy SKPath cache (§3.4).</w:t>
            </w:r>
          </w:p>
          <w:p>
            <w:pPr>
              <w:spacing w:after="36" w:before="0"/>
            </w:pPr>
            <w:r>
              <w:rPr>
                <w:rFonts w:ascii="Calibri" w:cs="Calibri" w:eastAsia="Calibri" w:hAnsi="Calibri"/>
                <w:color w:val="0F172A"/>
                <w:sz w:val="21"/>
                <w:szCs w:val="21"/>
              </w:rPr>
              <w:t xml:space="preserve">Phase 1 must implement ImageRef and IImageStore (§3.3).</w:t>
            </w:r>
          </w:p>
          <w:p>
            <w:pPr>
              <w:spacing w:after="36" w:before="0"/>
            </w:pPr>
            <w:r>
              <w:rPr>
                <w:rFonts w:ascii="Calibri" w:cs="Calibri" w:eastAsia="Calibri" w:hAnsi="Calibri"/>
                <w:color w:val="0F172A"/>
                <w:sz w:val="21"/>
                <w:szCs w:val="21"/>
              </w:rPr>
              <w:t xml:space="preserve">Phase 1 must implement PaintScene / PaintBand with ImmutableArray collections.</w:t>
            </w:r>
          </w:p>
          <w:p>
            <w:pPr>
              <w:spacing w:after="36" w:before="0"/>
            </w:pPr>
            <w:r>
              <w:rPr>
                <w:rFonts w:ascii="Calibri" w:cs="Calibri" w:eastAsia="Calibri" w:hAnsi="Calibri"/>
                <w:color w:val="0F172A"/>
                <w:sz w:val="21"/>
                <w:szCs w:val="21"/>
              </w:rPr>
              <w:t xml:space="preserve">Phase 1 must implement System.Text.Json source-generated serialisation (§6.1).</w:t>
            </w:r>
          </w:p>
          <w:p>
            <w:pPr>
              <w:spacing w:after="36" w:before="0"/>
            </w:pPr>
            <w:r>
              <w:rPr>
                <w:rFonts w:ascii="Calibri" w:cs="Calibri" w:eastAsia="Calibri" w:hAnsi="Calibri"/>
                <w:color w:val="0F172A"/>
                <w:sz w:val="21"/>
                <w:szCs w:val="21"/>
              </w:rPr>
              <w:t xml:space="preserve">Phase 1 must implement the test PaintScene (§5.2 of the Phase 1 plan) using these types.</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Deferred to later phases:</w:t>
            </w:r>
          </w:p>
          <w:p>
            <w:pPr>
              <w:spacing w:after="36" w:before="0"/>
            </w:pPr>
            <w:r>
              <w:rPr>
                <w:rFonts w:ascii="Calibri" w:cs="Calibri" w:eastAsia="Calibri" w:hAnsi="Calibri"/>
                <w:color w:val="0F172A"/>
                <w:sz w:val="21"/>
                <w:szCs w:val="21"/>
              </w:rPr>
              <w:t xml:space="preserve">  • Band-level partial invalidation (LayoutVersion comparison) — Phase 3+</w:t>
            </w:r>
          </w:p>
          <w:p>
            <w:pPr>
              <w:spacing w:after="36" w:before="0"/>
            </w:pPr>
            <w:r>
              <w:rPr>
                <w:rFonts w:ascii="Calibri" w:cs="Calibri" w:eastAsia="Calibri" w:hAnsi="Calibri"/>
                <w:color w:val="0F172A"/>
                <w:sz w:val="21"/>
                <w:szCs w:val="21"/>
              </w:rPr>
              <w:t xml:space="preserve">  • MessagePack fast path — Phase 7 if needed</w:t>
            </w:r>
          </w:p>
          <w:p>
            <w:pPr>
              <w:spacing w:after="36" w:before="0"/>
            </w:pPr>
            <w:r>
              <w:rPr>
                <w:rFonts w:ascii="Calibri" w:cs="Calibri" w:eastAsia="Calibri" w:hAnsi="Calibri"/>
                <w:color w:val="0F172A"/>
                <w:sz w:val="21"/>
                <w:szCs w:val="21"/>
              </w:rPr>
              <w:t xml:space="preserve">  • Out-of-process rendering server — post Phase 7</w:t>
            </w:r>
          </w:p>
          <w:p>
            <w:pPr>
              <w:spacing w:after="36" w:before="0"/>
            </w:pPr>
            <w:r>
              <w:rPr>
                <w:rFonts w:ascii="Calibri" w:cs="Calibri" w:eastAsia="Calibri" w:hAnsi="Calibri"/>
                <w:color w:val="0F172A"/>
                <w:sz w:val="21"/>
                <w:szCs w:val="21"/>
              </w:rPr>
              <w:t xml:space="preserve">  • Accessibility tree generation from PaintScene — Phase 8</w:t>
            </w:r>
          </w:p>
        </w:tc>
      </w:tr>
    </w:tbl>
    <w:p>
      <w:pPr>
        <w:spacing w:after="110" w:before="0"/>
      </w:pPr>
      <w:r>
        <w:t xml:space="preserve"/>
      </w:r>
    </w:p>
    <w:p>
      <w:pPr>
        <w:pStyle w:val="Heading1"/>
        <w:spacing w:after="140" w:before="360"/>
      </w:pPr>
      <w:bookmarkStart w:name="changelog" w:id="1"/>
      <w:r>
        <w:rPr>
          <w:rFonts w:ascii="Calibri" w:cs="Calibri" w:eastAsia="Calibri" w:hAnsi="Calibri"/>
          <w:b/>
          <w:bCs/>
          <w:color w:val="1B2A4A"/>
          <w:sz w:val="34"/>
          <w:szCs w:val="34"/>
        </w:rPr>
        <w:t xml:space="preserve">Changelog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960"/>
      </w:tblGrid>
      <w:tr>
        <w:trPr>
          <w:tblHeader/>
        </w:trPr>
        <w:tc>
          <w:tcPr>
            <w:tcW w:type="dxa" w:w="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Version</w:t>
            </w:r>
          </w:p>
        </w:tc>
        <w:tc>
          <w:tcPr>
            <w:tcW w:type="dxa" w:w="1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Date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Author</w:t>
            </w:r>
          </w:p>
        </w:tc>
        <w:tc>
          <w:tcPr>
            <w:tcW w:type="dxa" w:w="4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Change</w:t>
            </w:r>
          </w:p>
        </w:tc>
      </w:tr>
      <w:tr>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1.0</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2025</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AppThere Core Team</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Initial draft — Accepted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spacing w:before="120"/>
      <w:jc w:val="right"/>
    </w:pPr>
    <w:r>
      <w:rPr>
        <w:rFonts w:ascii="Calibri" w:cs="Calibri" w:eastAsia="Calibri" w:hAnsi="Calibri"/>
        <w:color w:val="94A3B8"/>
        <w:sz w:val="18"/>
        <w:szCs w:val="18"/>
      </w:rPr>
      <w:t xml:space="preserve">ADR-003  ·  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spacing w:after="120"/>
    </w:pPr>
    <w:r>
      <w:rPr>
        <w:rFonts w:ascii="Calibri" w:cs="Calibri" w:eastAsia="Calibri" w:hAnsi="Calibri"/>
        <w:color w:val="94A3B8"/>
        <w:sz w:val="18"/>
        <w:szCs w:val="18"/>
      </w:rPr>
      <w:t xml:space="preserve">AppThere Loki  ·  Architecture Decision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B2A4A"/>
      <w:sz w:val="34"/>
      <w:szCs w:val="34"/>
    </w:rPr>
  </w:style>
  <w:style w:type="paragraph" w:styleId="Heading2">
    <w:name w:val="Heading 2"/>
    <w:basedOn w:val="Normal"/>
    <w:next w:val="Normal"/>
    <w:qFormat/>
    <w:pPr>
      <w:spacing/>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D94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ADR-003: PaintScene Immutability and Serialisation Strategy</dc:title>
  <dc:creator>AppThere</dc:creator>
  <cp:lastModifiedBy>Un-named</cp:lastModifiedBy>
  <cp:revision>1</cp:revision>
  <dcterms:created xsi:type="dcterms:W3CDTF">2026-03-04T09:13:28.377Z</dcterms:created>
  <dcterms:modified xsi:type="dcterms:W3CDTF">2026-03-04T09:13:28.378Z</dcterms:modified>
</cp:coreProperties>
</file>

<file path=docProps/custom.xml><?xml version="1.0" encoding="utf-8"?>
<Properties xmlns="http://schemas.openxmlformats.org/officeDocument/2006/custom-properties" xmlns:vt="http://schemas.openxmlformats.org/officeDocument/2006/docPropsVTypes"/>
</file>