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Calibri" w:cs="Calibri" w:eastAsia="Calibri" w:hAnsi="Calibri"/>
          <w:b/>
          <w:bCs/>
          <w:color w:val="1B2A4A"/>
          <w:sz w:val="60"/>
          <w:szCs w:val="60"/>
        </w:rPr>
        <w:t xml:space="preserve">AppThere Loki</w:t>
      </w:r>
    </w:p>
    <w:p>
      <w:pPr>
        <w:spacing w:after="200" w:before="0"/>
        <w:jc w:val="center"/>
      </w:pPr>
      <w:r>
        <w:rPr>
          <w:rFonts w:ascii="Calibri" w:cs="Calibri" w:eastAsia="Calibri" w:hAnsi="Calibri"/>
          <w:b/>
          <w:bCs/>
          <w:color w:val="2563EB"/>
          <w:sz w:val="38"/>
          <w:szCs w:val="38"/>
        </w:rPr>
        <w:t xml:space="preserve">Code of Conduct</w:t>
      </w:r>
    </w:p>
    <w:p>
      <w:pPr>
        <w:spacing w:after="400" w:before="0"/>
        <w:jc w:val="center"/>
      </w:pPr>
      <w:r>
        <w:rPr>
          <w:rFonts w:ascii="Calibri" w:cs="Calibri" w:eastAsia="Calibri" w:hAnsi="Calibri"/>
          <w:i/>
          <w:iCs/>
          <w:color w:val="94A3B8"/>
          <w:sz w:val="24"/>
          <w:szCs w:val="24"/>
        </w:rPr>
        <w:t xml:space="preserve">Contributor Covenant v2.1  ·  Adapted for AppThere Loki</w:t>
      </w:r>
    </w:p>
    <w:p>
      <w:r>
        <w:br w:type="page"/>
      </w:r>
    </w:p>
    <w:p>
      <w:pPr>
        <w:pStyle w:val="Heading1"/>
        <w:spacing w:after="160" w:before="400"/>
      </w:pPr>
      <w:bookmarkStart w:name="pledge" w:id="1"/>
      <w:r>
        <w:rPr>
          <w:rFonts w:ascii="Calibri" w:cs="Calibri" w:eastAsia="Calibri" w:hAnsi="Calibri"/>
          <w:b/>
          <w:bCs/>
          <w:color w:val="1B2A4A"/>
          <w:sz w:val="34"/>
          <w:szCs w:val="34"/>
        </w:rPr>
        <w:t xml:space="preserve">Our Pledge</w:t>
      </w:r>
      <w:bookmarkEnd w:id="1"/>
    </w:p>
    <w:p>
      <w:pPr>
        <w:spacing w:after="100" w:before="60"/>
      </w:pPr>
      <w:r>
        <w:rPr>
          <w:rFonts w:ascii="Calibri" w:cs="Calibri" w:eastAsia="Calibri" w:hAnsi="Calibri"/>
          <w:color w:val="0F172A"/>
          <w:sz w:val="22"/>
          <w:szCs w:val="22"/>
        </w:rPr>
        <w:t xml:space="preserve">We as members, contributors, and maintainers of AppThere Loki pledge to make participation in our community a harassment-free experience for everyone, regardless of age, body size, visible or invisible disability, ethnicity, sex characteristics, gender identity and expression, level of experience, education, socio-economic status, nationality, personal appearance, race, caste, colour, religion, or sexual identity and orientation.</w:t>
      </w:r>
    </w:p>
    <w:p>
      <w:pPr>
        <w:spacing w:after="110" w:before="0"/>
      </w:pPr>
      <w:r>
        <w:t xml:space="preserve"/>
      </w:r>
    </w:p>
    <w:p>
      <w:pPr>
        <w:spacing w:after="100" w:before="60"/>
      </w:pPr>
      <w:r>
        <w:rPr>
          <w:rFonts w:ascii="Calibri" w:cs="Calibri" w:eastAsia="Calibri" w:hAnsi="Calibri"/>
          <w:color w:val="0F172A"/>
          <w:sz w:val="22"/>
          <w:szCs w:val="22"/>
        </w:rPr>
        <w:t xml:space="preserve">We pledge to act and interact in ways that contribute to an open, welcoming, diverse, inclusive, and healthy community.</w:t>
      </w:r>
    </w:p>
    <w:p>
      <w:pPr>
        <w:spacing w:after="110" w:before="0"/>
      </w:pPr>
      <w:r>
        <w:t xml:space="preserve"/>
      </w:r>
    </w:p>
    <w:p>
      <w:pPr>
        <w:pStyle w:val="Heading1"/>
        <w:spacing w:after="160" w:before="400"/>
      </w:pPr>
      <w:bookmarkStart w:name="standards" w:id="1"/>
      <w:r>
        <w:rPr>
          <w:rFonts w:ascii="Calibri" w:cs="Calibri" w:eastAsia="Calibri" w:hAnsi="Calibri"/>
          <w:b/>
          <w:bCs/>
          <w:color w:val="1B2A4A"/>
          <w:sz w:val="34"/>
          <w:szCs w:val="34"/>
        </w:rPr>
        <w:t xml:space="preserve">Our Standards</w:t>
      </w:r>
      <w:bookmarkEnd w:id="1"/>
    </w:p>
    <w:p>
      <w:pPr>
        <w:pStyle w:val="Heading2"/>
        <w:spacing w:after="120" w:before="300"/>
      </w:pPr>
      <w:bookmarkStart w:name="positive" w:id="1"/>
      <w:r>
        <w:rPr>
          <w:rFonts w:ascii="Calibri" w:cs="Calibri" w:eastAsia="Calibri" w:hAnsi="Calibri"/>
          <w:b/>
          <w:bCs/>
          <w:color w:val="2563EB"/>
          <w:sz w:val="26"/>
          <w:szCs w:val="26"/>
        </w:rPr>
        <w:t xml:space="preserve">Examples of behaviour that contributes to a positive environment:</w:t>
      </w:r>
      <w:bookmarkEnd w:id="1"/>
    </w:p>
    <w:p>
      <w:pPr>
        <w:pStyle w:val="ListParagraph"/>
        <w:numPr>
          <w:ilvl w:val="0"/>
          <w:numId w:val="2"/>
        </w:numPr>
        <w:spacing w:after="40" w:before="40"/>
      </w:pPr>
      <w:r>
        <w:rPr>
          <w:rFonts w:ascii="Calibri" w:cs="Calibri" w:eastAsia="Calibri" w:hAnsi="Calibri"/>
          <w:color w:val="0F172A"/>
          <w:sz w:val="22"/>
          <w:szCs w:val="22"/>
        </w:rPr>
        <w:t xml:space="preserve">Demonstrating empathy and kindness toward other people.</w:t>
      </w:r>
    </w:p>
    <w:p>
      <w:pPr>
        <w:pStyle w:val="ListParagraph"/>
        <w:numPr>
          <w:ilvl w:val="0"/>
          <w:numId w:val="2"/>
        </w:numPr>
        <w:spacing w:after="40" w:before="40"/>
      </w:pPr>
      <w:r>
        <w:rPr>
          <w:rFonts w:ascii="Calibri" w:cs="Calibri" w:eastAsia="Calibri" w:hAnsi="Calibri"/>
          <w:color w:val="0F172A"/>
          <w:sz w:val="22"/>
          <w:szCs w:val="22"/>
        </w:rPr>
        <w:t xml:space="preserve">Being respectful of differing opinions, viewpoints, and experiences.</w:t>
      </w:r>
    </w:p>
    <w:p>
      <w:pPr>
        <w:pStyle w:val="ListParagraph"/>
        <w:numPr>
          <w:ilvl w:val="0"/>
          <w:numId w:val="2"/>
        </w:numPr>
        <w:spacing w:after="40" w:before="40"/>
      </w:pPr>
      <w:r>
        <w:rPr>
          <w:rFonts w:ascii="Calibri" w:cs="Calibri" w:eastAsia="Calibri" w:hAnsi="Calibri"/>
          <w:color w:val="0F172A"/>
          <w:sz w:val="22"/>
          <w:szCs w:val="22"/>
        </w:rPr>
        <w:t xml:space="preserve">Giving and gracefully accepting constructive feedback.</w:t>
      </w:r>
    </w:p>
    <w:p>
      <w:pPr>
        <w:pStyle w:val="ListParagraph"/>
        <w:numPr>
          <w:ilvl w:val="0"/>
          <w:numId w:val="2"/>
        </w:numPr>
        <w:spacing w:after="40" w:before="40"/>
      </w:pPr>
      <w:r>
        <w:rPr>
          <w:rFonts w:ascii="Calibri" w:cs="Calibri" w:eastAsia="Calibri" w:hAnsi="Calibri"/>
          <w:color w:val="0F172A"/>
          <w:sz w:val="22"/>
          <w:szCs w:val="22"/>
        </w:rPr>
        <w:t xml:space="preserve">Accepting responsibility and apologising to those affected by our mistakes, and learning from the experience.</w:t>
      </w:r>
    </w:p>
    <w:p>
      <w:pPr>
        <w:pStyle w:val="ListParagraph"/>
        <w:numPr>
          <w:ilvl w:val="0"/>
          <w:numId w:val="2"/>
        </w:numPr>
        <w:spacing w:after="40" w:before="40"/>
      </w:pPr>
      <w:r>
        <w:rPr>
          <w:rFonts w:ascii="Calibri" w:cs="Calibri" w:eastAsia="Calibri" w:hAnsi="Calibri"/>
          <w:color w:val="0F172A"/>
          <w:sz w:val="22"/>
          <w:szCs w:val="22"/>
        </w:rPr>
        <w:t xml:space="preserve">Focusing on what is best not just for us as individuals, but for the overall community.</w:t>
      </w:r>
    </w:p>
    <w:p>
      <w:pPr>
        <w:spacing w:after="110" w:before="0"/>
      </w:pPr>
      <w:r>
        <w:t xml:space="preserve"/>
      </w:r>
    </w:p>
    <w:p>
      <w:pPr>
        <w:pStyle w:val="Heading2"/>
        <w:spacing w:after="120" w:before="300"/>
      </w:pPr>
      <w:bookmarkStart w:name="negative" w:id="1"/>
      <w:r>
        <w:rPr>
          <w:rFonts w:ascii="Calibri" w:cs="Calibri" w:eastAsia="Calibri" w:hAnsi="Calibri"/>
          <w:b/>
          <w:bCs/>
          <w:color w:val="2563EB"/>
          <w:sz w:val="26"/>
          <w:szCs w:val="26"/>
        </w:rPr>
        <w:t xml:space="preserve">Examples of unacceptable behaviour:</w:t>
      </w:r>
      <w:bookmarkEnd w:id="1"/>
    </w:p>
    <w:p>
      <w:pPr>
        <w:pStyle w:val="ListParagraph"/>
        <w:numPr>
          <w:ilvl w:val="0"/>
          <w:numId w:val="2"/>
        </w:numPr>
        <w:spacing w:after="40" w:before="40"/>
      </w:pPr>
      <w:r>
        <w:rPr>
          <w:rFonts w:ascii="Calibri" w:cs="Calibri" w:eastAsia="Calibri" w:hAnsi="Calibri"/>
          <w:color w:val="0F172A"/>
          <w:sz w:val="22"/>
          <w:szCs w:val="22"/>
        </w:rPr>
        <w:t xml:space="preserve">The use of sexualised language or imagery, and sexual attention or advances of any kind.</w:t>
      </w:r>
    </w:p>
    <w:p>
      <w:pPr>
        <w:pStyle w:val="ListParagraph"/>
        <w:numPr>
          <w:ilvl w:val="0"/>
          <w:numId w:val="2"/>
        </w:numPr>
        <w:spacing w:after="40" w:before="40"/>
      </w:pPr>
      <w:r>
        <w:rPr>
          <w:rFonts w:ascii="Calibri" w:cs="Calibri" w:eastAsia="Calibri" w:hAnsi="Calibri"/>
          <w:color w:val="0F172A"/>
          <w:sz w:val="22"/>
          <w:szCs w:val="22"/>
        </w:rPr>
        <w:t xml:space="preserve">Trolling, insulting or derogatory comments, and personal or political attacks.</w:t>
      </w:r>
    </w:p>
    <w:p>
      <w:pPr>
        <w:pStyle w:val="ListParagraph"/>
        <w:numPr>
          <w:ilvl w:val="0"/>
          <w:numId w:val="2"/>
        </w:numPr>
        <w:spacing w:after="40" w:before="40"/>
      </w:pPr>
      <w:r>
        <w:rPr>
          <w:rFonts w:ascii="Calibri" w:cs="Calibri" w:eastAsia="Calibri" w:hAnsi="Calibri"/>
          <w:color w:val="0F172A"/>
          <w:sz w:val="22"/>
          <w:szCs w:val="22"/>
        </w:rPr>
        <w:t xml:space="preserve">Public or private harassment.</w:t>
      </w:r>
    </w:p>
    <w:p>
      <w:pPr>
        <w:pStyle w:val="ListParagraph"/>
        <w:numPr>
          <w:ilvl w:val="0"/>
          <w:numId w:val="2"/>
        </w:numPr>
        <w:spacing w:after="40" w:before="40"/>
      </w:pPr>
      <w:r>
        <w:rPr>
          <w:rFonts w:ascii="Calibri" w:cs="Calibri" w:eastAsia="Calibri" w:hAnsi="Calibri"/>
          <w:color w:val="0F172A"/>
          <w:sz w:val="22"/>
          <w:szCs w:val="22"/>
        </w:rPr>
        <w:t xml:space="preserve">Publishing others' private information, such as a physical or email address, without their explicit permission.</w:t>
      </w:r>
    </w:p>
    <w:p>
      <w:pPr>
        <w:pStyle w:val="ListParagraph"/>
        <w:numPr>
          <w:ilvl w:val="0"/>
          <w:numId w:val="2"/>
        </w:numPr>
        <w:spacing w:after="40" w:before="40"/>
      </w:pPr>
      <w:r>
        <w:rPr>
          <w:rFonts w:ascii="Calibri" w:cs="Calibri" w:eastAsia="Calibri" w:hAnsi="Calibri"/>
          <w:color w:val="0F172A"/>
          <w:sz w:val="22"/>
          <w:szCs w:val="22"/>
        </w:rPr>
        <w:t xml:space="preserve">Other conduct which could reasonably be considered inappropriate in a professional setting.</w:t>
      </w:r>
    </w:p>
    <w:p>
      <w:pPr>
        <w:spacing w:after="110" w:before="0"/>
      </w:pPr>
      <w:r>
        <w:t xml:space="preserve"/>
      </w:r>
    </w:p>
    <w:p>
      <w:pPr>
        <w:pStyle w:val="Heading1"/>
        <w:spacing w:after="160" w:before="400"/>
      </w:pPr>
      <w:bookmarkStart w:name="tech_conduct" w:id="1"/>
      <w:r>
        <w:rPr>
          <w:rFonts w:ascii="Calibri" w:cs="Calibri" w:eastAsia="Calibri" w:hAnsi="Calibri"/>
          <w:b/>
          <w:bCs/>
          <w:color w:val="1B2A4A"/>
          <w:sz w:val="34"/>
          <w:szCs w:val="34"/>
        </w:rPr>
        <w:t xml:space="preserve">Technical Conduct Standards</w:t>
      </w:r>
      <w:bookmarkEnd w:id="1"/>
    </w:p>
    <w:p>
      <w:pPr>
        <w:spacing w:after="100" w:before="60"/>
      </w:pPr>
      <w:r>
        <w:rPr>
          <w:rFonts w:ascii="Calibri" w:cs="Calibri" w:eastAsia="Calibri" w:hAnsi="Calibri"/>
          <w:color w:val="0F172A"/>
          <w:sz w:val="22"/>
          <w:szCs w:val="22"/>
        </w:rPr>
        <w:t xml:space="preserve">In addition to the general community standards above, the following technical conduct standards apply to all contributions:</w:t>
      </w:r>
    </w:p>
    <w:p>
      <w:pPr>
        <w:spacing w:after="110" w:before="0"/>
      </w:pPr>
      <w:r>
        <w:t xml:space="preserve"/>
      </w:r>
    </w:p>
    <w:p>
      <w:pPr>
        <w:pStyle w:val="ListParagraph"/>
        <w:numPr>
          <w:ilvl w:val="0"/>
          <w:numId w:val="2"/>
        </w:numPr>
        <w:spacing w:after="40" w:before="40"/>
      </w:pPr>
      <w:r>
        <w:rPr>
          <w:rFonts w:ascii="Calibri" w:cs="Calibri" w:eastAsia="Calibri" w:hAnsi="Calibri"/>
          <w:color w:val="0F172A"/>
          <w:sz w:val="22"/>
          <w:szCs w:val="22"/>
        </w:rPr>
        <w:t xml:space="preserve">Do not submit contributions containing code licensed under prohibited licences (GPL, LGPL, AGPL, or other copyleft licences). See the CLA §8 for the full list. This is not a preference — it is a hard rule that protects every user of the application.</w:t>
      </w:r>
    </w:p>
    <w:p>
      <w:pPr>
        <w:pStyle w:val="ListParagraph"/>
        <w:numPr>
          <w:ilvl w:val="0"/>
          <w:numId w:val="2"/>
        </w:numPr>
        <w:spacing w:after="40" w:before="40"/>
      </w:pPr>
      <w:r>
        <w:rPr>
          <w:rFonts w:ascii="Calibri" w:cs="Calibri" w:eastAsia="Calibri" w:hAnsi="Calibri"/>
          <w:color w:val="0F172A"/>
          <w:sz w:val="22"/>
          <w:szCs w:val="22"/>
        </w:rPr>
        <w:t xml:space="preserve">Do not submit contributions that deliberately introduce security vulnerabilities, backdoors, or obfuscated malicious code.</w:t>
      </w:r>
    </w:p>
    <w:p>
      <w:pPr>
        <w:pStyle w:val="ListParagraph"/>
        <w:numPr>
          <w:ilvl w:val="0"/>
          <w:numId w:val="2"/>
        </w:numPr>
        <w:spacing w:after="40" w:before="40"/>
      </w:pPr>
      <w:r>
        <w:rPr>
          <w:rFonts w:ascii="Calibri" w:cs="Calibri" w:eastAsia="Calibri" w:hAnsi="Calibri"/>
          <w:color w:val="0F172A"/>
          <w:sz w:val="22"/>
          <w:szCs w:val="22"/>
        </w:rPr>
        <w:t xml:space="preserve">Do not plagiarise code from other projects without attribution and licence compatibility verification.</w:t>
      </w:r>
    </w:p>
    <w:p>
      <w:pPr>
        <w:pStyle w:val="ListParagraph"/>
        <w:numPr>
          <w:ilvl w:val="0"/>
          <w:numId w:val="2"/>
        </w:numPr>
        <w:spacing w:after="40" w:before="40"/>
      </w:pPr>
      <w:r>
        <w:rPr>
          <w:rFonts w:ascii="Calibri" w:cs="Calibri" w:eastAsia="Calibri" w:hAnsi="Calibri"/>
          <w:color w:val="0F172A"/>
          <w:sz w:val="22"/>
          <w:szCs w:val="22"/>
        </w:rPr>
        <w:t xml:space="preserve">Do not misrepresent the origin or ownership of a contribution.</w:t>
      </w:r>
    </w:p>
    <w:p>
      <w:pPr>
        <w:spacing w:after="110" w:before="0"/>
      </w:pPr>
      <w:r>
        <w:t xml:space="preserve"/>
      </w:r>
    </w:p>
    <w:p>
      <w:pPr>
        <w:pStyle w:val="Heading1"/>
        <w:spacing w:after="160" w:before="400"/>
      </w:pPr>
      <w:bookmarkStart w:name="enforcement" w:id="1"/>
      <w:r>
        <w:rPr>
          <w:rFonts w:ascii="Calibri" w:cs="Calibri" w:eastAsia="Calibri" w:hAnsi="Calibri"/>
          <w:b/>
          <w:bCs/>
          <w:color w:val="1B2A4A"/>
          <w:sz w:val="34"/>
          <w:szCs w:val="34"/>
        </w:rPr>
        <w:t xml:space="preserve">Enforcement Responsibilities</w:t>
      </w:r>
      <w:bookmarkEnd w:id="1"/>
    </w:p>
    <w:p>
      <w:pPr>
        <w:spacing w:after="100" w:before="60"/>
      </w:pPr>
      <w:r>
        <w:rPr>
          <w:rFonts w:ascii="Calibri" w:cs="Calibri" w:eastAsia="Calibri" w:hAnsi="Calibri"/>
          <w:color w:val="0F172A"/>
          <w:sz w:val="22"/>
          <w:szCs w:val="22"/>
        </w:rPr>
        <w:t xml:space="preserve">The AppThere maintainers are responsible for clarifying and enforcing our standards of acceptable behaviour and will take appropriate and fair corrective action in response to any behaviour that they deem inappropriate, threatening, offensive, or harmful.</w:t>
      </w:r>
    </w:p>
    <w:p>
      <w:pPr>
        <w:spacing w:after="110" w:before="0"/>
      </w:pPr>
      <w:r>
        <w:t xml:space="preserve"/>
      </w:r>
    </w:p>
    <w:p>
      <w:pPr>
        <w:spacing w:after="100" w:before="60"/>
      </w:pPr>
      <w:r>
        <w:rPr>
          <w:rFonts w:ascii="Calibri" w:cs="Calibri" w:eastAsia="Calibri" w:hAnsi="Calibri"/>
          <w:color w:val="0F172A"/>
          <w:sz w:val="22"/>
          <w:szCs w:val="22"/>
        </w:rPr>
        <w:t xml:space="preserve">Maintainers have the right and responsibility to remove, edit, or reject comments, commits, code, wiki edits, issues, and other contributions that are not aligned with this Code of Conduct, and will communicate reasons for moderation decisions when appropriate.</w:t>
      </w:r>
    </w:p>
    <w:p>
      <w:pPr>
        <w:spacing w:after="110" w:before="0"/>
      </w:pPr>
      <w:r>
        <w:t xml:space="preserve"/>
      </w:r>
    </w:p>
    <w:p>
      <w:pPr>
        <w:pStyle w:val="Heading1"/>
        <w:spacing w:after="160" w:before="400"/>
      </w:pPr>
      <w:bookmarkStart w:name="scope" w:id="1"/>
      <w:r>
        <w:rPr>
          <w:rFonts w:ascii="Calibri" w:cs="Calibri" w:eastAsia="Calibri" w:hAnsi="Calibri"/>
          <w:b/>
          <w:bCs/>
          <w:color w:val="1B2A4A"/>
          <w:sz w:val="34"/>
          <w:szCs w:val="34"/>
        </w:rPr>
        <w:t xml:space="preserve">Scope</w:t>
      </w:r>
      <w:bookmarkEnd w:id="1"/>
    </w:p>
    <w:p>
      <w:pPr>
        <w:spacing w:after="100" w:before="60"/>
      </w:pPr>
      <w:r>
        <w:rPr>
          <w:rFonts w:ascii="Calibri" w:cs="Calibri" w:eastAsia="Calibri" w:hAnsi="Calibri"/>
          <w:color w:val="0F172A"/>
          <w:sz w:val="22"/>
          <w:szCs w:val="22"/>
        </w:rPr>
        <w:t xml:space="preserve">This Code of Conduct applies within all community spaces — GitHub repository, issues, pull requests, discussions, the project Discord (when established), and any other official communication channel — and also applies when an individual is officially representing the community in public spaces.</w:t>
      </w:r>
    </w:p>
    <w:p>
      <w:pPr>
        <w:spacing w:after="110" w:before="0"/>
      </w:pPr>
      <w:r>
        <w:t xml:space="preserve"/>
      </w:r>
    </w:p>
    <w:p>
      <w:pPr>
        <w:pStyle w:val="Heading1"/>
        <w:spacing w:after="160" w:before="400"/>
      </w:pPr>
      <w:bookmarkStart w:name="enforcement_process" w:id="1"/>
      <w:r>
        <w:rPr>
          <w:rFonts w:ascii="Calibri" w:cs="Calibri" w:eastAsia="Calibri" w:hAnsi="Calibri"/>
          <w:b/>
          <w:bCs/>
          <w:color w:val="1B2A4A"/>
          <w:sz w:val="34"/>
          <w:szCs w:val="34"/>
        </w:rPr>
        <w:t xml:space="preserve">Enforcement</w:t>
      </w:r>
      <w:bookmarkEnd w:id="1"/>
    </w:p>
    <w:p>
      <w:pPr>
        <w:pStyle w:val="Heading2"/>
        <w:spacing w:after="120" w:before="300"/>
      </w:pPr>
      <w:bookmarkStart w:name="reporting_coc" w:id="1"/>
      <w:r>
        <w:rPr>
          <w:rFonts w:ascii="Calibri" w:cs="Calibri" w:eastAsia="Calibri" w:hAnsi="Calibri"/>
          <w:b/>
          <w:bCs/>
          <w:color w:val="2563EB"/>
          <w:sz w:val="26"/>
          <w:szCs w:val="26"/>
        </w:rPr>
        <w:t xml:space="preserve">Reporting</w:t>
      </w:r>
      <w:bookmarkEnd w:id="1"/>
    </w:p>
    <w:p>
      <w:pPr>
        <w:spacing w:after="100" w:before="60"/>
      </w:pPr>
      <w:r>
        <w:rPr>
          <w:rFonts w:ascii="Calibri" w:cs="Calibri" w:eastAsia="Calibri" w:hAnsi="Calibri"/>
          <w:color w:val="0F172A"/>
          <w:sz w:val="22"/>
          <w:szCs w:val="22"/>
        </w:rPr>
        <w:t xml:space="preserve">Instances of abusive, harassing, or otherwise unacceptable behaviour may be reported to the maintainers at conduct@appthere.dev. All complaints will be reviewed and investigated promptly and fairly. All maintainers are obligated to respect the privacy and security of the reporter of any incident.</w:t>
      </w:r>
    </w:p>
    <w:p>
      <w:pPr>
        <w:spacing w:after="110" w:before="0"/>
      </w:pPr>
      <w:r>
        <w:t xml:space="preserve"/>
      </w:r>
    </w:p>
    <w:p>
      <w:pPr>
        <w:pStyle w:val="Heading2"/>
        <w:spacing w:after="120" w:before="300"/>
      </w:pPr>
      <w:bookmarkStart w:name="guidelines" w:id="1"/>
      <w:r>
        <w:rPr>
          <w:rFonts w:ascii="Calibri" w:cs="Calibri" w:eastAsia="Calibri" w:hAnsi="Calibri"/>
          <w:b/>
          <w:bCs/>
          <w:color w:val="2563EB"/>
          <w:sz w:val="26"/>
          <w:szCs w:val="26"/>
        </w:rPr>
        <w:t xml:space="preserve">Enforcement Guidelines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Level</w:t>
            </w:r>
          </w:p>
        </w:tc>
        <w:tc>
          <w:tcPr>
            <w:tcW w:type="dxa" w:w="3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Violation</w:t>
            </w:r>
          </w:p>
        </w:tc>
        <w:tc>
          <w:tcPr>
            <w:tcW w:type="dxa" w:w="47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Consequence</w:t>
            </w:r>
          </w:p>
        </w:tc>
      </w:tr>
      <w:tr>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1 — Correction</w:t>
            </w:r>
          </w:p>
        </w:tc>
        <w:tc>
          <w:tcPr>
            <w:tcW w:type="dxa" w:w="3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Use of inappropriate language or other behaviour deemed unprofessional.</w:t>
            </w:r>
          </w:p>
        </w:tc>
        <w:tc>
          <w:tcPr>
            <w:tcW w:type="dxa" w:w="4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Private written warning. Public apology may be requested.</w:t>
            </w:r>
          </w:p>
        </w:tc>
      </w:tr>
      <w:tr>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 — Warning</w:t>
            </w:r>
          </w:p>
        </w:tc>
        <w:tc>
          <w:tcPr>
            <w:tcW w:type="dxa" w:w="3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 violation through a single incident or series of actions.</w:t>
            </w:r>
          </w:p>
        </w:tc>
        <w:tc>
          <w:tcPr>
            <w:tcW w:type="dxa" w:w="4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Warning with consequences for continued behaviour. No interaction with involved parties for a specified period.</w:t>
            </w:r>
          </w:p>
        </w:tc>
      </w:tr>
      <w:tr>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3 — Temporary Ban</w:t>
            </w:r>
          </w:p>
        </w:tc>
        <w:tc>
          <w:tcPr>
            <w:tcW w:type="dxa" w:w="3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 serious violation of community standards, including sustained inappropriate behaviour.</w:t>
            </w:r>
          </w:p>
        </w:tc>
        <w:tc>
          <w:tcPr>
            <w:tcW w:type="dxa" w:w="4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Temporary ban from any sort of interaction or public communication with the community.</w:t>
            </w:r>
          </w:p>
        </w:tc>
      </w:tr>
      <w:tr>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4 — Permanent Ban</w:t>
            </w:r>
          </w:p>
        </w:tc>
        <w:tc>
          <w:tcPr>
            <w:tcW w:type="dxa" w:w="3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Demonstrating a pattern of violation, harassment of an individual, or aggression toward or disparagement of classes of individuals.</w:t>
            </w:r>
          </w:p>
        </w:tc>
        <w:tc>
          <w:tcPr>
            <w:tcW w:type="dxa" w:w="4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Permanent ban from any sort of public interaction within the community.</w:t>
            </w:r>
          </w:p>
        </w:tc>
      </w:tr>
    </w:tbl>
    <w:p>
      <w:pPr>
        <w:spacing w:after="110" w:before="0"/>
      </w:pPr>
      <w:r>
        <w:t xml:space="preserve"/>
      </w:r>
    </w:p>
    <w:p>
      <w:pPr>
        <w:pStyle w:val="Heading1"/>
        <w:spacing w:after="160" w:before="400"/>
      </w:pPr>
      <w:bookmarkStart w:name="attribution_coc" w:id="1"/>
      <w:r>
        <w:rPr>
          <w:rFonts w:ascii="Calibri" w:cs="Calibri" w:eastAsia="Calibri" w:hAnsi="Calibri"/>
          <w:b/>
          <w:bCs/>
          <w:color w:val="1B2A4A"/>
          <w:sz w:val="34"/>
          <w:szCs w:val="34"/>
        </w:rPr>
        <w:t xml:space="preserve">Attribution</w:t>
      </w:r>
      <w:bookmarkEnd w:id="1"/>
    </w:p>
    <w:p>
      <w:pPr>
        <w:spacing w:after="100" w:before="60"/>
      </w:pPr>
      <w:r>
        <w:rPr>
          <w:rFonts w:ascii="Calibri" w:cs="Calibri" w:eastAsia="Calibri" w:hAnsi="Calibri"/>
          <w:color w:val="0F172A"/>
          <w:sz w:val="22"/>
          <w:szCs w:val="22"/>
        </w:rPr>
        <w:t xml:space="preserve">This Code of Conduct is adapted from the Contributor Covenant, version 2.1, available at https://www.contributor-covenant.org/version/2/1/code_of_conduct/. Community Impact Guidelines were inspired by Mozilla's code of conduct enforcement ladder.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spacing w:before="120"/>
      <w:jc w:val="right"/>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spacing w:after="120"/>
    </w:pPr>
    <w:r>
      <w:rPr>
        <w:rFonts w:ascii="Calibri" w:cs="Calibri" w:eastAsia="Calibri" w:hAnsi="Calibri"/>
        <w:color w:val="94A3B8"/>
        <w:sz w:val="18"/>
        <w:szCs w:val="18"/>
      </w:rPr>
      <w:t xml:space="preserve">AppThere Loki  ·  Code of Conduct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2A4A"/>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0D9488"/>
      <w:sz w:val="23"/>
      <w:szCs w:val="23"/>
    </w:rPr>
  </w:style>
  <w:style w:type="paragraph" w:styleId="Heading4">
    <w:name w:val="Heading 4"/>
    <w:basedOn w:val="Normal"/>
    <w:next w:val="Normal"/>
    <w:qFormat/>
    <w:pPr>
      <w:spacing w:after="60" w:before="160"/>
      <w:outlineLvl w:val="3"/>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AppThere Loki — Code of Conduct</dc:title>
  <dc:creator>AppThere</dc:creator>
  <cp:lastModifiedBy>Un-named</cp:lastModifiedBy>
  <cp:revision>1</cp:revision>
  <dcterms:created xsi:type="dcterms:W3CDTF">2026-03-05T06:35:23.876Z</dcterms:created>
  <dcterms:modified xsi:type="dcterms:W3CDTF">2026-03-05T06:35:23.876Z</dcterms:modified>
</cp:coreProperties>
</file>

<file path=docProps/custom.xml><?xml version="1.0" encoding="utf-8"?>
<Properties xmlns="http://schemas.openxmlformats.org/officeDocument/2006/custom-properties" xmlns:vt="http://schemas.openxmlformats.org/officeDocument/2006/docPropsVTypes"/>
</file>