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Calibri" w:cs="Calibri" w:eastAsia="Calibri" w:hAnsi="Calibri"/>
          <w:b/>
          <w:bCs/>
          <w:color w:val="1B2A4A"/>
          <w:sz w:val="60"/>
          <w:szCs w:val="60"/>
        </w:rPr>
        <w:t xml:space="preserve">AppThere Loki</w:t>
      </w:r>
    </w:p>
    <w:p>
      <w:pPr>
        <w:spacing w:after="200" w:before="0"/>
        <w:jc w:val="center"/>
      </w:pPr>
      <w:r>
        <w:rPr>
          <w:rFonts w:ascii="Calibri" w:cs="Calibri" w:eastAsia="Calibri" w:hAnsi="Calibri"/>
          <w:b/>
          <w:bCs/>
          <w:color w:val="2563EB"/>
          <w:sz w:val="38"/>
          <w:szCs w:val="38"/>
        </w:rPr>
        <w:t xml:space="preserve">Project Governance</w:t>
      </w:r>
    </w:p>
    <w:p>
      <w:pPr>
        <w:spacing w:after="400" w:before="0"/>
        <w:jc w:val="center"/>
      </w:pPr>
      <w:r>
        <w:rPr>
          <w:rFonts w:ascii="Calibri" w:cs="Calibri" w:eastAsia="Calibri" w:hAnsi="Calibri"/>
          <w:i/>
          <w:iCs/>
          <w:color w:val="94A3B8"/>
          <w:sz w:val="24"/>
          <w:szCs w:val="24"/>
        </w:rPr>
        <w:t xml:space="preserve">Decision-making · RFC process · Roles · ADR policy</w:t>
      </w:r>
    </w:p>
    <w:p>
      <w:pPr>
        <w:spacing w:after="80" w:before="0"/>
        <w:jc w:val="center"/>
      </w:pPr>
      <w:r>
        <w:rPr>
          <w:rFonts w:ascii="Calibri" w:cs="Calibri" w:eastAsia="Calibri" w:hAnsi="Calibri"/>
          <w:color w:val="94A3B8"/>
          <w:sz w:val="20"/>
          <w:szCs w:val="20"/>
        </w:rPr>
        <w:t xml:space="preserve">AppThere Loki — Apache 2.0 Open Source</w:t>
      </w:r>
    </w:p>
    <w:p>
      <w:r>
        <w:br w:type="page"/>
      </w:r>
    </w:p>
    <w:p>
      <w:pPr>
        <w:pStyle w:val="Heading1"/>
        <w:spacing w:after="160" w:before="400"/>
      </w:pPr>
      <w:bookmarkStart w:name="toc" w:id="1"/>
      <w:r>
        <w:rPr>
          <w:rFonts w:ascii="Calibri" w:cs="Calibri" w:eastAsia="Calibri" w:hAnsi="Calibri"/>
          <w:b/>
          <w:bCs/>
          <w:color w:val="1B2A4A"/>
          <w:sz w:val="34"/>
          <w:szCs w:val="34"/>
        </w:rPr>
        <w:t xml:space="preserve">Table of Contents</w:t>
      </w:r>
      <w:bookmarkEnd w:id="1"/>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400"/>
      </w:pPr>
      <w:bookmarkStart w:name="model" w:id="1"/>
      <w:r>
        <w:rPr>
          <w:rFonts w:ascii="Calibri" w:cs="Calibri" w:eastAsia="Calibri" w:hAnsi="Calibri"/>
          <w:b/>
          <w:bCs/>
          <w:color w:val="1B2A4A"/>
          <w:sz w:val="34"/>
          <w:szCs w:val="34"/>
        </w:rPr>
        <w:t xml:space="preserve">1. Governance Model</w:t>
      </w:r>
      <w:bookmarkEnd w:id="1"/>
    </w:p>
    <w:p>
      <w:pPr>
        <w:spacing w:after="100" w:before="60"/>
      </w:pPr>
      <w:r>
        <w:rPr>
          <w:rFonts w:ascii="Calibri" w:cs="Calibri" w:eastAsia="Calibri" w:hAnsi="Calibri"/>
          <w:color w:val="0F172A"/>
          <w:sz w:val="22"/>
          <w:szCs w:val="22"/>
        </w:rPr>
        <w:t xml:space="preserve">AppThere Loki uses a BDFL (Benevolent Dictator For Life) governance model with a community RFC (Request for Comments) process for significant architectural decisions. This model is appropriate for the current stage of the project and may evolve as the community grows.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In plain terms</w:t>
            </w:r>
          </w:p>
          <w:p>
            <w:pPr>
              <w:spacing w:after="36" w:before="0"/>
            </w:pPr>
            <w:r>
              <w:rPr>
                <w:rFonts w:ascii="Calibri" w:cs="Calibri" w:eastAsia="Calibri" w:hAnsi="Calibri"/>
                <w:color w:val="0F172A"/>
                <w:sz w:val="21"/>
                <w:szCs w:val="21"/>
              </w:rPr>
              <w:t xml:space="preserve">The project founder (AppThere) makes final decisions on all architectural,</w:t>
            </w:r>
          </w:p>
          <w:p>
            <w:pPr>
              <w:spacing w:after="36" w:before="0"/>
            </w:pPr>
            <w:r>
              <w:rPr>
                <w:rFonts w:ascii="Calibri" w:cs="Calibri" w:eastAsia="Calibri" w:hAnsi="Calibri"/>
                <w:color w:val="0F172A"/>
                <w:sz w:val="21"/>
                <w:szCs w:val="21"/>
              </w:rPr>
              <w:t xml:space="preserve">roadmap, and release matters. The community influences decisions through the</w:t>
            </w:r>
          </w:p>
          <w:p>
            <w:pPr>
              <w:spacing w:after="36" w:before="0"/>
            </w:pPr>
            <w:r>
              <w:rPr>
                <w:rFonts w:ascii="Calibri" w:cs="Calibri" w:eastAsia="Calibri" w:hAnsi="Calibri"/>
                <w:color w:val="0F172A"/>
                <w:sz w:val="21"/>
                <w:szCs w:val="21"/>
              </w:rPr>
              <w:t xml:space="preserve">RFC process — by writing proposals, providing feedback, and building consensus.</w:t>
            </w:r>
          </w:p>
          <w:p>
            <w:pPr>
              <w:spacing w:after="36" w:before="0"/>
            </w:pPr>
            <w:r>
              <w:rPr>
                <w:rFonts w:ascii="Calibri" w:cs="Calibri" w:eastAsia="Calibri" w:hAnsi="Calibri"/>
                <w:color w:val="0F172A"/>
                <w:sz w:val="21"/>
                <w:szCs w:val="21"/>
              </w:rPr>
              <w:t xml:space="preserve">The BDFL commits to reading every RFC, responding publicly, and explaining</w:t>
            </w:r>
          </w:p>
          <w:p>
            <w:pPr>
              <w:spacing w:after="36" w:before="0"/>
            </w:pPr>
            <w:r>
              <w:rPr>
                <w:rFonts w:ascii="Calibri" w:cs="Calibri" w:eastAsia="Calibri" w:hAnsi="Calibri"/>
                <w:color w:val="0F172A"/>
                <w:sz w:val="21"/>
                <w:szCs w:val="21"/>
              </w:rPr>
              <w:t xml:space="preserve">any decision that diverges from community consensus.</w:t>
            </w:r>
          </w:p>
        </w:tc>
      </w:tr>
    </w:tbl>
    <w:p>
      <w:pPr>
        <w:spacing w:after="110" w:before="0"/>
      </w:pPr>
      <w:r>
        <w:t xml:space="preserve"/>
      </w:r>
    </w:p>
    <w:p>
      <w:pPr>
        <w:pStyle w:val="Heading1"/>
        <w:spacing w:after="160" w:before="400"/>
      </w:pPr>
      <w:bookmarkStart w:name="roles" w:id="1"/>
      <w:r>
        <w:rPr>
          <w:rFonts w:ascii="Calibri" w:cs="Calibri" w:eastAsia="Calibri" w:hAnsi="Calibri"/>
          <w:b/>
          <w:bCs/>
          <w:color w:val="1B2A4A"/>
          <w:sz w:val="34"/>
          <w:szCs w:val="34"/>
        </w:rPr>
        <w:t xml:space="preserve">2. Roles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Role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Who</w:t>
            </w:r>
          </w:p>
        </w:tc>
        <w:tc>
          <w:tcPr>
            <w:tcW w:type="dxa" w:w="3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Responsibilities</w:t>
            </w:r>
          </w:p>
        </w:tc>
        <w:tc>
          <w:tcPr>
            <w:tcW w:type="dxa" w:w="25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How to become</w:t>
            </w:r>
          </w:p>
        </w:tc>
      </w:tr>
      <w:tr>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BDFL / Maintainer</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AppThere (founder)</w:t>
            </w:r>
          </w:p>
        </w:tc>
        <w:tc>
          <w:tcPr>
            <w:tcW w:type="dxa" w:w="3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Final architectural decisions, release authority, security response, DCO compliance, RFC acceptance</w:t>
            </w:r>
          </w:p>
        </w:tc>
        <w:tc>
          <w:tcPr>
            <w:tcW w:type="dxa" w:w="25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N/A — founding role</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Committer</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Trusted contributors with merge rights</w:t>
            </w:r>
          </w:p>
        </w:tc>
        <w:tc>
          <w:tcPr>
            <w:tcW w:type="dxa" w:w="3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Review PRs, merge approved contributions, participate in RFC discussions</w:t>
            </w:r>
          </w:p>
        </w:tc>
        <w:tc>
          <w:tcPr>
            <w:tcW w:type="dxa" w:w="25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Invitation from BDFL after sustained quality contributions</w:t>
            </w:r>
          </w:p>
        </w:tc>
      </w:tr>
      <w:tr>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Contributor</w:t>
            </w:r>
          </w:p>
        </w:tc>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Anyone with a merged PR</w:t>
            </w:r>
          </w:p>
        </w:tc>
        <w:tc>
          <w:tcPr>
            <w:tcW w:type="dxa" w:w="3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Submit PRs, open RFCs, participate in discussions, report issues</w:t>
            </w:r>
          </w:p>
        </w:tc>
        <w:tc>
          <w:tcPr>
            <w:tcW w:type="dxa" w:w="25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Open a PR; add DCO sign-off to commits; have PR merged</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Community Member</w:t>
            </w:r>
          </w:p>
        </w:tc>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Anyone</w:t>
            </w:r>
          </w:p>
        </w:tc>
        <w:tc>
          <w:tcPr>
            <w:tcW w:type="dxa" w:w="3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Open issues, comment on RFCs, test pre-releases, report bugs</w:t>
            </w:r>
          </w:p>
        </w:tc>
        <w:tc>
          <w:tcPr>
            <w:tcW w:type="dxa" w:w="25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 requirement — just participate</w:t>
            </w:r>
          </w:p>
        </w:tc>
      </w:tr>
    </w:tbl>
    <w:p>
      <w:pPr>
        <w:spacing w:after="110" w:before="0"/>
      </w:pPr>
      <w:r>
        <w:t xml:space="preserve"/>
      </w:r>
    </w:p>
    <w:p>
      <w:pPr>
        <w:pStyle w:val="Heading1"/>
        <w:spacing w:after="160" w:before="400"/>
      </w:pPr>
      <w:bookmarkStart w:name="rfc" w:id="1"/>
      <w:r>
        <w:rPr>
          <w:rFonts w:ascii="Calibri" w:cs="Calibri" w:eastAsia="Calibri" w:hAnsi="Calibri"/>
          <w:b/>
          <w:bCs/>
          <w:color w:val="1B2A4A"/>
          <w:sz w:val="34"/>
          <w:szCs w:val="34"/>
        </w:rPr>
        <w:t xml:space="preserve">3. RFC Process</w:t>
      </w:r>
      <w:bookmarkEnd w:id="1"/>
    </w:p>
    <w:p>
      <w:pPr>
        <w:spacing w:after="100" w:before="60"/>
      </w:pPr>
      <w:r>
        <w:rPr>
          <w:rFonts w:ascii="Calibri" w:cs="Calibri" w:eastAsia="Calibri" w:hAnsi="Calibri"/>
          <w:color w:val="0F172A"/>
          <w:sz w:val="22"/>
          <w:szCs w:val="22"/>
        </w:rPr>
        <w:t xml:space="preserve">The RFC (Request for Comments) process applies to significant changes that affect the public architecture of the project. Its purpose is to give the community visibility into planned changes and an opportunity to provide input before decisions are made.</w:t>
      </w:r>
    </w:p>
    <w:p>
      <w:pPr>
        <w:spacing w:after="110" w:before="0"/>
      </w:pPr>
      <w:r>
        <w:t xml:space="preserve"/>
      </w:r>
    </w:p>
    <w:p>
      <w:pPr>
        <w:pStyle w:val="Heading2"/>
        <w:spacing w:after="120" w:before="300"/>
      </w:pPr>
      <w:bookmarkStart w:name="rfc_when" w:id="1"/>
      <w:r>
        <w:rPr>
          <w:rFonts w:ascii="Calibri" w:cs="Calibri" w:eastAsia="Calibri" w:hAnsi="Calibri"/>
          <w:b/>
          <w:bCs/>
          <w:color w:val="2563EB"/>
          <w:sz w:val="26"/>
          <w:szCs w:val="26"/>
        </w:rPr>
        <w:t xml:space="preserve">3.1 When is an RFC Required?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RFC Required</w:t>
            </w:r>
          </w:p>
          <w:p>
            <w:pPr>
              <w:spacing w:after="36" w:before="0"/>
            </w:pPr>
            <w:r>
              <w:rPr>
                <w:rFonts w:ascii="Calibri" w:cs="Calibri" w:eastAsia="Calibri" w:hAnsi="Calibri"/>
                <w:color w:val="0F172A"/>
                <w:sz w:val="21"/>
                <w:szCs w:val="21"/>
              </w:rPr>
              <w:t xml:space="preserve">An RFC is required for any change that:</w:t>
            </w:r>
          </w:p>
          <w:p>
            <w:pPr>
              <w:spacing w:after="36" w:before="0"/>
            </w:pPr>
            <w:r>
              <w:rPr>
                <w:rFonts w:ascii="Calibri" w:cs="Calibri" w:eastAsia="Calibri" w:hAnsi="Calibri"/>
                <w:color w:val="0F172A"/>
                <w:sz w:val="21"/>
                <w:szCs w:val="21"/>
              </w:rPr>
              <w:t xml:space="preserve">  • Adds, removes, or modifies a public interface in LokiKit (Phase 2+)</w:t>
            </w:r>
          </w:p>
          <w:p>
            <w:pPr>
              <w:spacing w:after="36" w:before="0"/>
            </w:pPr>
            <w:r>
              <w:rPr>
                <w:rFonts w:ascii="Calibri" w:cs="Calibri" w:eastAsia="Calibri" w:hAnsi="Calibri"/>
                <w:color w:val="0F172A"/>
                <w:sz w:val="21"/>
                <w:szCs w:val="21"/>
              </w:rPr>
              <w:t xml:space="preserve">  • Adds or removes a supported document format</w:t>
            </w:r>
          </w:p>
          <w:p>
            <w:pPr>
              <w:spacing w:after="36" w:before="0"/>
            </w:pPr>
            <w:r>
              <w:rPr>
                <w:rFonts w:ascii="Calibri" w:cs="Calibri" w:eastAsia="Calibri" w:hAnsi="Calibri"/>
                <w:color w:val="0F172A"/>
                <w:sz w:val="21"/>
                <w:szCs w:val="21"/>
              </w:rPr>
              <w:t xml:space="preserve">  • Adds or removes a supported export format</w:t>
            </w:r>
          </w:p>
          <w:p>
            <w:pPr>
              <w:spacing w:after="36" w:before="0"/>
            </w:pPr>
            <w:r>
              <w:rPr>
                <w:rFonts w:ascii="Calibri" w:cs="Calibri" w:eastAsia="Calibri" w:hAnsi="Calibri"/>
                <w:color w:val="0F172A"/>
                <w:sz w:val="21"/>
                <w:szCs w:val="21"/>
              </w:rPr>
              <w:t xml:space="preserve">  • Changes the PaintScene node hierarchy or tile protocol</w:t>
            </w:r>
          </w:p>
          <w:p>
            <w:pPr>
              <w:spacing w:after="36" w:before="0"/>
            </w:pPr>
            <w:r>
              <w:rPr>
                <w:rFonts w:ascii="Calibri" w:cs="Calibri" w:eastAsia="Calibri" w:hAnsi="Calibri"/>
                <w:color w:val="0F172A"/>
                <w:sz w:val="21"/>
                <w:szCs w:val="21"/>
              </w:rPr>
              <w:t xml:space="preserve">  • Adds a new bundled font family</w:t>
            </w:r>
          </w:p>
          <w:p>
            <w:pPr>
              <w:spacing w:after="36" w:before="0"/>
            </w:pPr>
            <w:r>
              <w:rPr>
                <w:rFonts w:ascii="Calibri" w:cs="Calibri" w:eastAsia="Calibri" w:hAnsi="Calibri"/>
                <w:color w:val="0F172A"/>
                <w:sz w:val="21"/>
                <w:szCs w:val="21"/>
              </w:rPr>
              <w:t xml:space="preserve">  • Changes the branching or release strategy</w:t>
            </w:r>
          </w:p>
          <w:p>
            <w:pPr>
              <w:spacing w:after="36" w:before="0"/>
            </w:pPr>
            <w:r>
              <w:rPr>
                <w:rFonts w:ascii="Calibri" w:cs="Calibri" w:eastAsia="Calibri" w:hAnsi="Calibri"/>
                <w:color w:val="0F172A"/>
                <w:sz w:val="21"/>
                <w:szCs w:val="21"/>
              </w:rPr>
              <w:t xml:space="preserve">  • Introduces a new runtime dependency</w:t>
            </w:r>
          </w:p>
          <w:p>
            <w:pPr>
              <w:spacing w:after="36" w:before="0"/>
            </w:pPr>
            <w:r>
              <w:rPr>
                <w:rFonts w:ascii="Calibri" w:cs="Calibri" w:eastAsia="Calibri" w:hAnsi="Calibri"/>
                <w:color w:val="0F172A"/>
                <w:sz w:val="21"/>
                <w:szCs w:val="21"/>
              </w:rPr>
              <w:t xml:space="preserve">  • Changes the licence policy or permitted/prohibited dependency list</w:t>
            </w:r>
          </w:p>
          <w:p>
            <w:pPr>
              <w:spacing w:after="36" w:before="0"/>
            </w:pPr>
            <w:r>
              <w:rPr>
                <w:rFonts w:ascii="Calibri" w:cs="Calibri" w:eastAsia="Calibri" w:hAnsi="Calibri"/>
                <w:color w:val="0F172A"/>
                <w:sz w:val="21"/>
                <w:szCs w:val="21"/>
              </w:rPr>
              <w:t xml:space="preserve">  • Proposes a new Architecture Decision Record on a previously undecided question</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1"/>
              <w:left w:val="single" w:color="166534" w:sz="16"/>
              <w:bottom w:val="single" w:color="166534" w:sz="1"/>
              <w:right w:val="single" w:color="166534" w:sz="1"/>
            </w:tcBorders>
            <w:shd w:fill="F0FDF4" w:val="clear"/>
            <w:tcMar>
              <w:top w:type="dxa" w:w="120"/>
              <w:left w:type="dxa" w:w="240"/>
              <w:bottom w:type="dxa" w:w="120"/>
              <w:right w:type="dxa" w:w="240"/>
            </w:tcMar>
          </w:tcPr>
          <w:p>
            <w:pPr>
              <w:spacing w:after="60"/>
            </w:pPr>
            <w:r>
              <w:rPr>
                <w:rFonts w:ascii="Calibri" w:cs="Calibri" w:eastAsia="Calibri" w:hAnsi="Calibri"/>
                <w:b/>
                <w:bCs/>
                <w:color w:val="166534"/>
                <w:sz w:val="21"/>
                <w:szCs w:val="21"/>
              </w:rPr>
              <w:t xml:space="preserve">RFC Not Required</w:t>
            </w:r>
          </w:p>
          <w:p>
            <w:pPr>
              <w:spacing w:after="36" w:before="0"/>
            </w:pPr>
            <w:r>
              <w:rPr>
                <w:rFonts w:ascii="Calibri" w:cs="Calibri" w:eastAsia="Calibri" w:hAnsi="Calibri"/>
                <w:color w:val="0F172A"/>
                <w:sz w:val="21"/>
                <w:szCs w:val="21"/>
              </w:rPr>
              <w:t xml:space="preserve">An RFC is not required for:</w:t>
            </w:r>
          </w:p>
          <w:p>
            <w:pPr>
              <w:spacing w:after="36" w:before="0"/>
            </w:pPr>
            <w:r>
              <w:rPr>
                <w:rFonts w:ascii="Calibri" w:cs="Calibri" w:eastAsia="Calibri" w:hAnsi="Calibri"/>
                <w:color w:val="0F172A"/>
                <w:sz w:val="21"/>
                <w:szCs w:val="21"/>
              </w:rPr>
              <w:t xml:space="preserve">  • Bug fixes (any size)</w:t>
            </w:r>
          </w:p>
          <w:p>
            <w:pPr>
              <w:spacing w:after="36" w:before="0"/>
            </w:pPr>
            <w:r>
              <w:rPr>
                <w:rFonts w:ascii="Calibri" w:cs="Calibri" w:eastAsia="Calibri" w:hAnsi="Calibri"/>
                <w:color w:val="0F172A"/>
                <w:sz w:val="21"/>
                <w:szCs w:val="21"/>
              </w:rPr>
              <w:t xml:space="preserve">  • Performance improvements that don't change public APIs</w:t>
            </w:r>
          </w:p>
          <w:p>
            <w:pPr>
              <w:spacing w:after="36" w:before="0"/>
            </w:pPr>
            <w:r>
              <w:rPr>
                <w:rFonts w:ascii="Calibri" w:cs="Calibri" w:eastAsia="Calibri" w:hAnsi="Calibri"/>
                <w:color w:val="0F172A"/>
                <w:sz w:val="21"/>
                <w:szCs w:val="21"/>
              </w:rPr>
              <w:t xml:space="preserve">  • Documentation improvements</w:t>
            </w:r>
          </w:p>
          <w:p>
            <w:pPr>
              <w:spacing w:after="36" w:before="0"/>
            </w:pPr>
            <w:r>
              <w:rPr>
                <w:rFonts w:ascii="Calibri" w:cs="Calibri" w:eastAsia="Calibri" w:hAnsi="Calibri"/>
                <w:color w:val="0F172A"/>
                <w:sz w:val="21"/>
                <w:szCs w:val="21"/>
              </w:rPr>
              <w:t xml:space="preserve">  • Test additions</w:t>
            </w:r>
          </w:p>
          <w:p>
            <w:pPr>
              <w:spacing w:after="36" w:before="0"/>
            </w:pPr>
            <w:r>
              <w:rPr>
                <w:rFonts w:ascii="Calibri" w:cs="Calibri" w:eastAsia="Calibri" w:hAnsi="Calibri"/>
                <w:color w:val="0F172A"/>
                <w:sz w:val="21"/>
                <w:szCs w:val="21"/>
              </w:rPr>
              <w:t xml:space="preserve">  • Dependency version updates (within the permitted licence list)</w:t>
            </w:r>
          </w:p>
          <w:p>
            <w:pPr>
              <w:spacing w:after="36" w:before="0"/>
            </w:pPr>
            <w:r>
              <w:rPr>
                <w:rFonts w:ascii="Calibri" w:cs="Calibri" w:eastAsia="Calibri" w:hAnsi="Calibri"/>
                <w:color w:val="0F172A"/>
                <w:sz w:val="21"/>
                <w:szCs w:val="21"/>
              </w:rPr>
              <w:t xml:space="preserve">  • Internal refactoring that doesn't change public interfaces</w:t>
            </w:r>
          </w:p>
          <w:p>
            <w:pPr>
              <w:spacing w:after="36" w:before="0"/>
            </w:pPr>
            <w:r>
              <w:rPr>
                <w:rFonts w:ascii="Calibri" w:cs="Calibri" w:eastAsia="Calibri" w:hAnsi="Calibri"/>
                <w:color w:val="0F172A"/>
                <w:sz w:val="21"/>
                <w:szCs w:val="21"/>
              </w:rPr>
              <w:t xml:space="preserve">  • New ADRs that formalise already-implemented decisions</w:t>
            </w:r>
          </w:p>
        </w:tc>
      </w:tr>
    </w:tbl>
    <w:p>
      <w:pPr>
        <w:spacing w:after="110" w:before="0"/>
      </w:pPr>
      <w:r>
        <w:t xml:space="preserve"/>
      </w:r>
    </w:p>
    <w:p>
      <w:pPr>
        <w:pStyle w:val="Heading2"/>
        <w:spacing w:after="120" w:before="300"/>
      </w:pPr>
      <w:bookmarkStart w:name="rfc_lifecycle" w:id="1"/>
      <w:r>
        <w:rPr>
          <w:rFonts w:ascii="Calibri" w:cs="Calibri" w:eastAsia="Calibri" w:hAnsi="Calibri"/>
          <w:b/>
          <w:bCs/>
          <w:color w:val="2563EB"/>
          <w:sz w:val="26"/>
          <w:szCs w:val="26"/>
        </w:rPr>
        <w:t xml:space="preserve">3.2 RFC Lifecycle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600"/>
        <w:gridCol w:w="25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Stage</w:t>
            </w:r>
          </w:p>
        </w:tc>
        <w:tc>
          <w:tcPr>
            <w:tcW w:type="dxa" w:w="1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Duration</w:t>
            </w:r>
          </w:p>
        </w:tc>
        <w:tc>
          <w:tcPr>
            <w:tcW w:type="dxa" w:w="3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Action</w:t>
            </w:r>
          </w:p>
        </w:tc>
        <w:tc>
          <w:tcPr>
            <w:tcW w:type="dxa" w:w="25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Who</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Draft</w:t>
            </w:r>
          </w:p>
        </w:tc>
        <w:tc>
          <w:tcPr>
            <w:tcW w:type="dxa" w:w="1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 limit</w:t>
            </w:r>
          </w:p>
        </w:tc>
        <w:tc>
          <w:tcPr>
            <w:tcW w:type="dxa" w:w="3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Author opens a GitHub Discussion in the 'RFC' category with the template below. Prefix title: [RFC] Short Title.</w:t>
            </w:r>
          </w:p>
        </w:tc>
        <w:tc>
          <w:tcPr>
            <w:tcW w:type="dxa" w:w="25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Any contributor</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Comment Period</w:t>
            </w:r>
          </w:p>
        </w:tc>
        <w:tc>
          <w:tcPr>
            <w:tcW w:type="dxa" w:w="1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Minimum 14 days</w:t>
            </w:r>
          </w:p>
        </w:tc>
        <w:tc>
          <w:tcPr>
            <w:tcW w:type="dxa" w:w="3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Community comments. Author revises the proposal based on feedback. BDFL may ask questions but does not decide yet.</w:t>
            </w:r>
          </w:p>
        </w:tc>
        <w:tc>
          <w:tcPr>
            <w:tcW w:type="dxa" w:w="25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All community members</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Final Comment Period (FCP)</w:t>
            </w:r>
          </w:p>
        </w:tc>
        <w:tc>
          <w:tcPr>
            <w:tcW w:type="dxa" w:w="1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7 days</w:t>
            </w:r>
          </w:p>
        </w:tc>
        <w:tc>
          <w:tcPr>
            <w:tcW w:type="dxa" w:w="3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BDFL announces FCP. Last opportunity for blocking concerns. FCP begins only when the RFC is stable and comments are addressed.</w:t>
            </w:r>
          </w:p>
        </w:tc>
        <w:tc>
          <w:tcPr>
            <w:tcW w:type="dxa" w:w="25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BDFL announces</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Accepted</w:t>
            </w:r>
          </w:p>
        </w:tc>
        <w:tc>
          <w:tcPr>
            <w:tcW w:type="dxa" w:w="1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t>
            </w:r>
          </w:p>
        </w:tc>
        <w:tc>
          <w:tcPr>
            <w:tcW w:type="dxa" w:w="3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BDFL accepts the RFC. An ADR is written incorporating the decision. The RFC discussion is closed and linked from the ADR.</w:t>
            </w:r>
          </w:p>
        </w:tc>
        <w:tc>
          <w:tcPr>
            <w:tcW w:type="dxa" w:w="25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BDFL</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Deferred</w:t>
            </w:r>
          </w:p>
        </w:tc>
        <w:tc>
          <w:tcPr>
            <w:tcW w:type="dxa" w:w="1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t>
            </w:r>
          </w:p>
        </w:tc>
        <w:tc>
          <w:tcPr>
            <w:tcW w:type="dxa" w:w="3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RFC is sound but not the right time. Kept open for a future cycle.</w:t>
            </w:r>
          </w:p>
        </w:tc>
        <w:tc>
          <w:tcPr>
            <w:tcW w:type="dxa" w:w="25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BDFL</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Rejected</w:t>
            </w:r>
          </w:p>
        </w:tc>
        <w:tc>
          <w:tcPr>
            <w:tcW w:type="dxa" w:w="1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t>
            </w:r>
          </w:p>
        </w:tc>
        <w:tc>
          <w:tcPr>
            <w:tcW w:type="dxa" w:w="3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RFC is rejected. BDFL writes a public explanation. Rejection is not permanent — a revised RFC may be reopened.</w:t>
            </w:r>
          </w:p>
        </w:tc>
        <w:tc>
          <w:tcPr>
            <w:tcW w:type="dxa" w:w="25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BDFL</w:t>
            </w:r>
          </w:p>
        </w:tc>
      </w:tr>
    </w:tbl>
    <w:p>
      <w:pPr>
        <w:spacing w:after="110" w:before="0"/>
      </w:pPr>
      <w:r>
        <w:t xml:space="preserve"/>
      </w:r>
    </w:p>
    <w:p>
      <w:pPr>
        <w:pStyle w:val="Heading2"/>
        <w:spacing w:after="120" w:before="300"/>
      </w:pPr>
      <w:bookmarkStart w:name="rfc_template" w:id="1"/>
      <w:r>
        <w:rPr>
          <w:rFonts w:ascii="Calibri" w:cs="Calibri" w:eastAsia="Calibri" w:hAnsi="Calibri"/>
          <w:b/>
          <w:bCs/>
          <w:color w:val="2563EB"/>
          <w:sz w:val="26"/>
          <w:szCs w:val="26"/>
        </w:rPr>
        <w:t xml:space="preserve">3.3 RFC Template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E1E2E" w:val="clear"/>
            <w:tcMar>
              <w:top w:type="dxa" w:w="140"/>
              <w:left w:type="dxa" w:w="280"/>
              <w:bottom w:type="dxa" w:w="140"/>
              <w:right w:type="dxa" w:w="280"/>
            </w:tcMar>
          </w:tcPr>
          <w:p>
            <w:pPr>
              <w:spacing w:after="14" w:before="0"/>
            </w:pPr>
            <w:r>
              <w:rPr>
                <w:rFonts w:ascii="Courier New" w:cs="Courier New" w:eastAsia="Courier New" w:hAnsi="Courier New"/>
                <w:color w:val="CDD6F4"/>
                <w:sz w:val="19"/>
                <w:szCs w:val="19"/>
              </w:rPr>
              <w:t xml:space="preserve">## RFC: [Short Title]</w:t>
            </w:r>
          </w:p>
          <w:p>
            <w:pPr>
              <w:spacing w:after="14" w:before="0"/>
            </w:pPr>
            <w:r>
              <w:rPr>
                <w:rFonts w:ascii="Courier New" w:cs="Courier New" w:eastAsia="Courier New" w:hAnsi="Courier New"/>
                <w:color w:val="CDD6F4"/>
                <w:sz w:val="19"/>
                <w:szCs w:val="19"/>
              </w:rPr>
              <w:t xml:space="preserve">**Author:** @github-handle</w:t>
            </w:r>
          </w:p>
          <w:p>
            <w:pPr>
              <w:spacing w:after="14" w:before="0"/>
            </w:pPr>
            <w:r>
              <w:rPr>
                <w:rFonts w:ascii="Courier New" w:cs="Courier New" w:eastAsia="Courier New" w:hAnsi="Courier New"/>
                <w:color w:val="CDD6F4"/>
                <w:sz w:val="19"/>
                <w:szCs w:val="19"/>
              </w:rPr>
              <w:t xml:space="preserve">**Date:** YYYY-MM-DD</w:t>
            </w:r>
          </w:p>
          <w:p>
            <w:pPr>
              <w:spacing w:after="14" w:before="0"/>
            </w:pPr>
            <w:r>
              <w:rPr>
                <w:rFonts w:ascii="Courier New" w:cs="Courier New" w:eastAsia="Courier New" w:hAnsi="Courier New"/>
                <w:color w:val="CDD6F4"/>
                <w:sz w:val="19"/>
                <w:szCs w:val="19"/>
              </w:rPr>
              <w:t xml:space="preserve">**Status:** Draft</w:t>
            </w:r>
          </w:p>
          <w:p>
            <w:pPr>
              <w:spacing w:after="14" w:before="0"/>
            </w:pPr>
            <w:r>
              <w:rPr>
                <w:rFonts w:ascii="Courier New" w:cs="Courier New" w:eastAsia="Courier New" w:hAnsi="Courier New"/>
                <w:color w:val="CDD6F4"/>
                <w:sz w:val="19"/>
                <w:szCs w:val="19"/>
              </w:rPr>
              <w:t xml:space="preserve"/>
            </w:r>
          </w:p>
          <w:p>
            <w:pPr>
              <w:spacing w:after="14" w:before="0"/>
            </w:pPr>
            <w:r>
              <w:rPr>
                <w:rFonts w:ascii="Courier New" w:cs="Courier New" w:eastAsia="Courier New" w:hAnsi="Courier New"/>
                <w:color w:val="CDD6F4"/>
                <w:sz w:val="19"/>
                <w:szCs w:val="19"/>
              </w:rPr>
              <w:t xml:space="preserve">### Summary</w:t>
            </w:r>
          </w:p>
          <w:p>
            <w:pPr>
              <w:spacing w:after="14" w:before="0"/>
            </w:pPr>
            <w:r>
              <w:rPr>
                <w:rFonts w:ascii="Courier New" w:cs="Courier New" w:eastAsia="Courier New" w:hAnsi="Courier New"/>
                <w:color w:val="CDD6F4"/>
                <w:sz w:val="19"/>
                <w:szCs w:val="19"/>
              </w:rPr>
              <w:t xml:space="preserve">One paragraph. What is being proposed?</w:t>
            </w:r>
          </w:p>
          <w:p>
            <w:pPr>
              <w:spacing w:after="14" w:before="0"/>
            </w:pPr>
            <w:r>
              <w:rPr>
                <w:rFonts w:ascii="Courier New" w:cs="Courier New" w:eastAsia="Courier New" w:hAnsi="Courier New"/>
                <w:color w:val="CDD6F4"/>
                <w:sz w:val="19"/>
                <w:szCs w:val="19"/>
              </w:rPr>
              <w:t xml:space="preserve"/>
            </w:r>
          </w:p>
          <w:p>
            <w:pPr>
              <w:spacing w:after="14" w:before="0"/>
            </w:pPr>
            <w:r>
              <w:rPr>
                <w:rFonts w:ascii="Courier New" w:cs="Courier New" w:eastAsia="Courier New" w:hAnsi="Courier New"/>
                <w:color w:val="CDD6F4"/>
                <w:sz w:val="19"/>
                <w:szCs w:val="19"/>
              </w:rPr>
              <w:t xml:space="preserve">### Motivation</w:t>
            </w:r>
          </w:p>
          <w:p>
            <w:pPr>
              <w:spacing w:after="14" w:before="0"/>
            </w:pPr>
            <w:r>
              <w:rPr>
                <w:rFonts w:ascii="Courier New" w:cs="Courier New" w:eastAsia="Courier New" w:hAnsi="Courier New"/>
                <w:color w:val="CDD6F4"/>
                <w:sz w:val="19"/>
                <w:szCs w:val="19"/>
              </w:rPr>
              <w:t xml:space="preserve">Why is this change needed? What problem does it solve?</w:t>
            </w:r>
          </w:p>
          <w:p>
            <w:pPr>
              <w:spacing w:after="14" w:before="0"/>
            </w:pPr>
            <w:r>
              <w:rPr>
                <w:rFonts w:ascii="Courier New" w:cs="Courier New" w:eastAsia="Courier New" w:hAnsi="Courier New"/>
                <w:color w:val="CDD6F4"/>
                <w:sz w:val="19"/>
                <w:szCs w:val="19"/>
              </w:rPr>
              <w:t xml:space="preserve">Link to relevant issues, discussions, or prior art.</w:t>
            </w:r>
          </w:p>
          <w:p>
            <w:pPr>
              <w:spacing w:after="14" w:before="0"/>
            </w:pPr>
            <w:r>
              <w:rPr>
                <w:rFonts w:ascii="Courier New" w:cs="Courier New" w:eastAsia="Courier New" w:hAnsi="Courier New"/>
                <w:color w:val="CDD6F4"/>
                <w:sz w:val="19"/>
                <w:szCs w:val="19"/>
              </w:rPr>
              <w:t xml:space="preserve"/>
            </w:r>
          </w:p>
          <w:p>
            <w:pPr>
              <w:spacing w:after="14" w:before="0"/>
            </w:pPr>
            <w:r>
              <w:rPr>
                <w:rFonts w:ascii="Courier New" w:cs="Courier New" w:eastAsia="Courier New" w:hAnsi="Courier New"/>
                <w:color w:val="CDD6F4"/>
                <w:sz w:val="19"/>
                <w:szCs w:val="19"/>
              </w:rPr>
              <w:t xml:space="preserve">### Detailed Design</w:t>
            </w:r>
          </w:p>
          <w:p>
            <w:pPr>
              <w:spacing w:after="14" w:before="0"/>
            </w:pPr>
            <w:r>
              <w:rPr>
                <w:rFonts w:ascii="Courier New" w:cs="Courier New" w:eastAsia="Courier New" w:hAnsi="Courier New"/>
                <w:color w:val="CDD6F4"/>
                <w:sz w:val="19"/>
                <w:szCs w:val="19"/>
              </w:rPr>
              <w:t xml:space="preserve">The technical proposal. Interface signatures, data types, protocol changes.</w:t>
            </w:r>
          </w:p>
          <w:p>
            <w:pPr>
              <w:spacing w:after="14" w:before="0"/>
            </w:pPr>
            <w:r>
              <w:rPr>
                <w:rFonts w:ascii="Courier New" w:cs="Courier New" w:eastAsia="Courier New" w:hAnsi="Courier New"/>
                <w:color w:val="CDD6F4"/>
                <w:sz w:val="19"/>
                <w:szCs w:val="19"/>
              </w:rPr>
              <w:t xml:space="preserve">Be specific enough that an implementation could begin from this document.</w:t>
            </w:r>
          </w:p>
          <w:p>
            <w:pPr>
              <w:spacing w:after="14" w:before="0"/>
            </w:pPr>
            <w:r>
              <w:rPr>
                <w:rFonts w:ascii="Courier New" w:cs="Courier New" w:eastAsia="Courier New" w:hAnsi="Courier New"/>
                <w:color w:val="CDD6F4"/>
                <w:sz w:val="19"/>
                <w:szCs w:val="19"/>
              </w:rPr>
              <w:t xml:space="preserve"/>
            </w:r>
          </w:p>
          <w:p>
            <w:pPr>
              <w:spacing w:after="14" w:before="0"/>
            </w:pPr>
            <w:r>
              <w:rPr>
                <w:rFonts w:ascii="Courier New" w:cs="Courier New" w:eastAsia="Courier New" w:hAnsi="Courier New"/>
                <w:color w:val="CDD6F4"/>
                <w:sz w:val="19"/>
                <w:szCs w:val="19"/>
              </w:rPr>
              <w:t xml:space="preserve">### Impact on Existing Users / Consumers</w:t>
            </w:r>
          </w:p>
          <w:p>
            <w:pPr>
              <w:spacing w:after="14" w:before="0"/>
            </w:pPr>
            <w:r>
              <w:rPr>
                <w:rFonts w:ascii="Courier New" w:cs="Courier New" w:eastAsia="Courier New" w:hAnsi="Courier New"/>
                <w:color w:val="CDD6F4"/>
                <w:sz w:val="19"/>
                <w:szCs w:val="19"/>
              </w:rPr>
              <w:t xml:space="preserve">Breaking changes? Migration path? Version compatibility?</w:t>
            </w:r>
          </w:p>
          <w:p>
            <w:pPr>
              <w:spacing w:after="14" w:before="0"/>
            </w:pPr>
            <w:r>
              <w:rPr>
                <w:rFonts w:ascii="Courier New" w:cs="Courier New" w:eastAsia="Courier New" w:hAnsi="Courier New"/>
                <w:color w:val="CDD6F4"/>
                <w:sz w:val="19"/>
                <w:szCs w:val="19"/>
              </w:rPr>
              <w:t xml:space="preserve"/>
            </w:r>
          </w:p>
          <w:p>
            <w:pPr>
              <w:spacing w:after="14" w:before="0"/>
            </w:pPr>
            <w:r>
              <w:rPr>
                <w:rFonts w:ascii="Courier New" w:cs="Courier New" w:eastAsia="Courier New" w:hAnsi="Courier New"/>
                <w:color w:val="CDD6F4"/>
                <w:sz w:val="19"/>
                <w:szCs w:val="19"/>
              </w:rPr>
              <w:t xml:space="preserve">### Alternatives Considered</w:t>
            </w:r>
          </w:p>
          <w:p>
            <w:pPr>
              <w:spacing w:after="14" w:before="0"/>
            </w:pPr>
            <w:r>
              <w:rPr>
                <w:rFonts w:ascii="Courier New" w:cs="Courier New" w:eastAsia="Courier New" w:hAnsi="Courier New"/>
                <w:color w:val="CDD6F4"/>
                <w:sz w:val="19"/>
                <w:szCs w:val="19"/>
              </w:rPr>
              <w:t xml:space="preserve">What other approaches were considered? Why were they not chosen?</w:t>
            </w:r>
          </w:p>
          <w:p>
            <w:pPr>
              <w:spacing w:after="14" w:before="0"/>
            </w:pPr>
            <w:r>
              <w:rPr>
                <w:rFonts w:ascii="Courier New" w:cs="Courier New" w:eastAsia="Courier New" w:hAnsi="Courier New"/>
                <w:color w:val="CDD6F4"/>
                <w:sz w:val="19"/>
                <w:szCs w:val="19"/>
              </w:rPr>
              <w:t xml:space="preserve"/>
            </w:r>
          </w:p>
          <w:p>
            <w:pPr>
              <w:spacing w:after="14" w:before="0"/>
            </w:pPr>
            <w:r>
              <w:rPr>
                <w:rFonts w:ascii="Courier New" w:cs="Courier New" w:eastAsia="Courier New" w:hAnsi="Courier New"/>
                <w:color w:val="CDD6F4"/>
                <w:sz w:val="19"/>
                <w:szCs w:val="19"/>
              </w:rPr>
              <w:t xml:space="preserve">### Open Questions</w:t>
            </w:r>
          </w:p>
          <w:p>
            <w:pPr>
              <w:spacing w:after="14" w:before="0"/>
            </w:pPr>
            <w:r>
              <w:rPr>
                <w:rFonts w:ascii="Courier New" w:cs="Courier New" w:eastAsia="Courier New" w:hAnsi="Courier New"/>
                <w:color w:val="CDD6F4"/>
                <w:sz w:val="19"/>
                <w:szCs w:val="19"/>
              </w:rPr>
              <w:t xml:space="preserve">What is unresolved? What decisions are deferred to the ADR?</w:t>
            </w:r>
          </w:p>
          <w:p>
            <w:pPr>
              <w:spacing w:after="14" w:before="0"/>
            </w:pPr>
            <w:r>
              <w:rPr>
                <w:rFonts w:ascii="Courier New" w:cs="Courier New" w:eastAsia="Courier New" w:hAnsi="Courier New"/>
                <w:color w:val="CDD6F4"/>
                <w:sz w:val="19"/>
                <w:szCs w:val="19"/>
              </w:rPr>
              <w:t xml:space="preserve"/>
            </w:r>
          </w:p>
          <w:p>
            <w:pPr>
              <w:spacing w:after="14" w:before="0"/>
            </w:pPr>
            <w:r>
              <w:rPr>
                <w:rFonts w:ascii="Courier New" w:cs="Courier New" w:eastAsia="Courier New" w:hAnsi="Courier New"/>
                <w:color w:val="CDD6F4"/>
                <w:sz w:val="19"/>
                <w:szCs w:val="19"/>
              </w:rPr>
              <w:t xml:space="preserve">### References</w:t>
            </w:r>
          </w:p>
          <w:p>
            <w:pPr>
              <w:spacing w:after="14" w:before="0"/>
            </w:pPr>
            <w:r>
              <w:rPr>
                <w:rFonts w:ascii="Courier New" w:cs="Courier New" w:eastAsia="Courier New" w:hAnsi="Courier New"/>
                <w:color w:val="CDD6F4"/>
                <w:sz w:val="19"/>
                <w:szCs w:val="19"/>
              </w:rPr>
              <w:t xml:space="preserve">Links to related ADRs, issues, external specifications.</w:t>
            </w:r>
          </w:p>
        </w:tc>
      </w:tr>
    </w:tbl>
    <w:p>
      <w:pPr>
        <w:spacing w:after="110" w:before="0"/>
      </w:pPr>
      <w:r>
        <w:t xml:space="preserve"/>
      </w:r>
    </w:p>
    <w:p>
      <w:pPr>
        <w:pStyle w:val="Heading1"/>
        <w:spacing w:after="160" w:before="400"/>
      </w:pPr>
      <w:bookmarkStart w:name="adr_policy" w:id="1"/>
      <w:r>
        <w:rPr>
          <w:rFonts w:ascii="Calibri" w:cs="Calibri" w:eastAsia="Calibri" w:hAnsi="Calibri"/>
          <w:b/>
          <w:bCs/>
          <w:color w:val="1B2A4A"/>
          <w:sz w:val="34"/>
          <w:szCs w:val="34"/>
        </w:rPr>
        <w:t xml:space="preserve">4. ADR Policy in an Open Source Context</w:t>
      </w:r>
      <w:bookmarkEnd w:id="1"/>
    </w:p>
    <w:p>
      <w:pPr>
        <w:spacing w:after="100" w:before="60"/>
      </w:pPr>
      <w:r>
        <w:rPr>
          <w:rFonts w:ascii="Calibri" w:cs="Calibri" w:eastAsia="Calibri" w:hAnsi="Calibri"/>
          <w:color w:val="0F172A"/>
          <w:sz w:val="22"/>
          <w:szCs w:val="22"/>
        </w:rPr>
        <w:t xml:space="preserve">Architecture Decision Records remain the canonical record of architectural decisions. The RFC process feeds into the ADR process — an accepted RFC results in one or more new ADRs.</w:t>
      </w:r>
    </w:p>
    <w:p>
      <w:pPr>
        <w:spacing w:after="110" w:before="0"/>
      </w:pPr>
      <w:r>
        <w:t xml:space="preserve"/>
      </w:r>
    </w:p>
    <w:p>
      <w:pPr>
        <w:pStyle w:val="Heading2"/>
        <w:spacing w:after="120" w:before="300"/>
      </w:pPr>
      <w:bookmarkStart w:name="community_adrs" w:id="1"/>
      <w:r>
        <w:rPr>
          <w:rFonts w:ascii="Calibri" w:cs="Calibri" w:eastAsia="Calibri" w:hAnsi="Calibri"/>
          <w:b/>
          <w:bCs/>
          <w:color w:val="2563EB"/>
          <w:sz w:val="26"/>
          <w:szCs w:val="26"/>
        </w:rPr>
        <w:t xml:space="preserve">4.1 Community ADR Proposals</w:t>
      </w:r>
      <w:bookmarkEnd w:id="1"/>
    </w:p>
    <w:p>
      <w:pPr>
        <w:spacing w:after="100" w:before="60"/>
      </w:pPr>
      <w:r>
        <w:rPr>
          <w:rFonts w:ascii="Calibri" w:cs="Calibri" w:eastAsia="Calibri" w:hAnsi="Calibri"/>
          <w:color w:val="0F172A"/>
          <w:sz w:val="22"/>
          <w:szCs w:val="22"/>
        </w:rPr>
        <w:t xml:space="preserve">Any community member may propose a new ADR by opening an RFC. If the RFC is accepted, the BDFL writes the ADR incorporating the community discussion. The ADR author is listed as the BDFL; the RFC author and contributors are acknowledged in the ADR's References section.</w:t>
      </w:r>
    </w:p>
    <w:p>
      <w:pPr>
        <w:spacing w:after="110" w:before="0"/>
      </w:pPr>
      <w:r>
        <w:t xml:space="preserve"/>
      </w:r>
    </w:p>
    <w:p>
      <w:pPr>
        <w:pStyle w:val="Heading2"/>
        <w:spacing w:after="120" w:before="300"/>
      </w:pPr>
      <w:bookmarkStart w:name="adr_amend" w:id="1"/>
      <w:r>
        <w:rPr>
          <w:rFonts w:ascii="Calibri" w:cs="Calibri" w:eastAsia="Calibri" w:hAnsi="Calibri"/>
          <w:b/>
          <w:bCs/>
          <w:color w:val="2563EB"/>
          <w:sz w:val="26"/>
          <w:szCs w:val="26"/>
        </w:rPr>
        <w:t xml:space="preserve">4.2 ADR Amendment</w:t>
      </w:r>
      <w:bookmarkEnd w:id="1"/>
    </w:p>
    <w:p>
      <w:pPr>
        <w:spacing w:after="100" w:before="60"/>
      </w:pPr>
      <w:r>
        <w:rPr>
          <w:rFonts w:ascii="Calibri" w:cs="Calibri" w:eastAsia="Calibri" w:hAnsi="Calibri"/>
          <w:color w:val="0F172A"/>
          <w:sz w:val="22"/>
          <w:szCs w:val="22"/>
        </w:rPr>
        <w:t xml:space="preserve">Accepted ADRs may be amended via a new RFC if circumstances have changed. The amended ADR supersedes the original; both are kept in the repository with the original marked 'Superseded by ADR-NNN'. ADRs are never deleted.</w:t>
      </w:r>
    </w:p>
    <w:p>
      <w:pPr>
        <w:spacing w:after="110" w:before="0"/>
      </w:pPr>
      <w:r>
        <w:t xml:space="preserve"/>
      </w:r>
    </w:p>
    <w:p>
      <w:pPr>
        <w:pStyle w:val="Heading2"/>
        <w:spacing w:after="120" w:before="300"/>
      </w:pPr>
      <w:bookmarkStart w:name="emergency_adrs" w:id="1"/>
      <w:r>
        <w:rPr>
          <w:rFonts w:ascii="Calibri" w:cs="Calibri" w:eastAsia="Calibri" w:hAnsi="Calibri"/>
          <w:b/>
          <w:bCs/>
          <w:color w:val="2563EB"/>
          <w:sz w:val="26"/>
          <w:szCs w:val="26"/>
        </w:rPr>
        <w:t xml:space="preserve">4.3 Emergency ADRs</w:t>
      </w:r>
      <w:bookmarkEnd w:id="1"/>
    </w:p>
    <w:p>
      <w:pPr>
        <w:spacing w:after="100" w:before="60"/>
      </w:pPr>
      <w:r>
        <w:rPr>
          <w:rFonts w:ascii="Calibri" w:cs="Calibri" w:eastAsia="Calibri" w:hAnsi="Calibri"/>
          <w:color w:val="0F172A"/>
          <w:sz w:val="22"/>
          <w:szCs w:val="22"/>
        </w:rPr>
        <w:t xml:space="preserve">Security-related architectural decisions may bypass the RFC process and be issued directly as an ADR by the BDFL. The ADR will note that the RFC process was bypassed and explain why. A retrospective community discussion period follows within 30 days.</w:t>
      </w:r>
    </w:p>
    <w:p>
      <w:pPr>
        <w:spacing w:after="110" w:before="0"/>
      </w:pPr>
      <w:r>
        <w:t xml:space="preserve"/>
      </w:r>
    </w:p>
    <w:p>
      <w:pPr>
        <w:pStyle w:val="Heading1"/>
        <w:spacing w:after="160" w:before="400"/>
      </w:pPr>
      <w:bookmarkStart w:name="pr_decisions" w:id="1"/>
      <w:r>
        <w:rPr>
          <w:rFonts w:ascii="Calibri" w:cs="Calibri" w:eastAsia="Calibri" w:hAnsi="Calibri"/>
          <w:b/>
          <w:bCs/>
          <w:color w:val="1B2A4A"/>
          <w:sz w:val="34"/>
          <w:szCs w:val="34"/>
        </w:rPr>
        <w:t xml:space="preserve">5. Decision-Making for Contributions</w:t>
      </w:r>
      <w:bookmarkEnd w:id="1"/>
    </w:p>
    <w:p>
      <w:pPr>
        <w:pStyle w:val="Heading2"/>
        <w:spacing w:after="120" w:before="300"/>
      </w:pPr>
      <w:bookmarkStart w:name="routine" w:id="1"/>
      <w:r>
        <w:rPr>
          <w:rFonts w:ascii="Calibri" w:cs="Calibri" w:eastAsia="Calibri" w:hAnsi="Calibri"/>
          <w:b/>
          <w:bCs/>
          <w:color w:val="2563EB"/>
          <w:sz w:val="26"/>
          <w:szCs w:val="26"/>
        </w:rPr>
        <w:t xml:space="preserve">5.1 Routine Contributions</w:t>
      </w:r>
      <w:bookmarkEnd w:id="1"/>
    </w:p>
    <w:p>
      <w:pPr>
        <w:spacing w:after="100" w:before="60"/>
      </w:pPr>
      <w:r>
        <w:rPr>
          <w:rFonts w:ascii="Calibri" w:cs="Calibri" w:eastAsia="Calibri" w:hAnsi="Calibri"/>
          <w:color w:val="0F172A"/>
          <w:sz w:val="22"/>
          <w:szCs w:val="22"/>
        </w:rPr>
        <w:t xml:space="preserve">PRs that don't require an RFC are reviewed and merged at the BDFL's or a Committer's discretion, subject to the technical standards in CONTRIBUTING.md. Review turnaround target: 7 days for community PRs.</w:t>
      </w:r>
    </w:p>
    <w:p>
      <w:pPr>
        <w:spacing w:after="110" w:before="0"/>
      </w:pPr>
      <w:r>
        <w:t xml:space="preserve"/>
      </w:r>
    </w:p>
    <w:p>
      <w:pPr>
        <w:pStyle w:val="Heading2"/>
        <w:spacing w:after="120" w:before="300"/>
      </w:pPr>
      <w:bookmarkStart w:name="disputed" w:id="1"/>
      <w:r>
        <w:rPr>
          <w:rFonts w:ascii="Calibri" w:cs="Calibri" w:eastAsia="Calibri" w:hAnsi="Calibri"/>
          <w:b/>
          <w:bCs/>
          <w:color w:val="2563EB"/>
          <w:sz w:val="26"/>
          <w:szCs w:val="26"/>
        </w:rPr>
        <w:t xml:space="preserve">5.2 Disputed Contributions</w:t>
      </w:r>
      <w:bookmarkEnd w:id="1"/>
    </w:p>
    <w:p>
      <w:pPr>
        <w:spacing w:after="100" w:before="60"/>
      </w:pPr>
      <w:r>
        <w:rPr>
          <w:rFonts w:ascii="Calibri" w:cs="Calibri" w:eastAsia="Calibri" w:hAnsi="Calibri"/>
          <w:color w:val="0F172A"/>
          <w:sz w:val="22"/>
          <w:szCs w:val="22"/>
        </w:rPr>
        <w:t xml:space="preserve">If a PR is disputed — for example, it conflicts with an existing ADR, introduces a prohibited dependency, or is architecturally inconsistent — the BDFL makes the final call after a public discussion on the PR. The decision is documented in the PR.</w:t>
      </w:r>
    </w:p>
    <w:p>
      <w:pPr>
        <w:spacing w:after="110" w:before="0"/>
      </w:pPr>
      <w:r>
        <w:t xml:space="preserve"/>
      </w:r>
    </w:p>
    <w:p>
      <w:pPr>
        <w:pStyle w:val="Heading2"/>
        <w:spacing w:after="120" w:before="300"/>
      </w:pPr>
      <w:bookmarkStart w:name="licence_violations" w:id="1"/>
      <w:r>
        <w:rPr>
          <w:rFonts w:ascii="Calibri" w:cs="Calibri" w:eastAsia="Calibri" w:hAnsi="Calibri"/>
          <w:b/>
          <w:bCs/>
          <w:color w:val="2563EB"/>
          <w:sz w:val="26"/>
          <w:szCs w:val="26"/>
        </w:rPr>
        <w:t xml:space="preserve">5.3 Licence Violations</w:t>
      </w:r>
      <w:bookmarkEnd w:id="1"/>
    </w:p>
    <w:p>
      <w:pPr>
        <w:spacing w:after="100" w:before="60"/>
      </w:pPr>
      <w:r>
        <w:rPr>
          <w:rFonts w:ascii="Calibri" w:cs="Calibri" w:eastAsia="Calibri" w:hAnsi="Calibri"/>
          <w:color w:val="0F172A"/>
          <w:sz w:val="22"/>
          <w:szCs w:val="22"/>
        </w:rPr>
        <w:t xml:space="preserve">Any contribution found to contain GPL, LGPL, AGPL, or other prohibited-licence code is rejected immediately, regardless of quality or merit. This is a hard rule with no exceptions. See CLA §8 and THIRD_PARTY_LICENSES.md for the full prohibited list.</w:t>
      </w:r>
    </w:p>
    <w:p>
      <w:pPr>
        <w:spacing w:after="110" w:before="0"/>
      </w:pPr>
      <w:r>
        <w:t xml:space="preserve"/>
      </w:r>
    </w:p>
    <w:p>
      <w:pPr>
        <w:pStyle w:val="Heading1"/>
        <w:spacing w:after="160" w:before="400"/>
      </w:pPr>
      <w:bookmarkStart w:name="evolution" w:id="1"/>
      <w:r>
        <w:rPr>
          <w:rFonts w:ascii="Calibri" w:cs="Calibri" w:eastAsia="Calibri" w:hAnsi="Calibri"/>
          <w:b/>
          <w:bCs/>
          <w:color w:val="1B2A4A"/>
          <w:sz w:val="34"/>
          <w:szCs w:val="34"/>
        </w:rPr>
        <w:t xml:space="preserve">6. Evolution of This Document</w:t>
      </w:r>
      <w:bookmarkEnd w:id="1"/>
    </w:p>
    <w:p>
      <w:pPr>
        <w:spacing w:after="100" w:before="60"/>
      </w:pPr>
      <w:r>
        <w:rPr>
          <w:rFonts w:ascii="Calibri" w:cs="Calibri" w:eastAsia="Calibri" w:hAnsi="Calibri"/>
          <w:color w:val="0F172A"/>
          <w:sz w:val="22"/>
          <w:szCs w:val="22"/>
        </w:rPr>
        <w:t xml:space="preserve">This governance document may be updated via an RFC. Any change to the governance model itself — especially changes that reduce community participation rights or alter the RFC process — must go through a full RFC with a minimum 30-day comment period (double the standard).</w:t>
      </w:r>
    </w:p>
    <w:p>
      <w:pPr>
        <w:spacing w:after="110" w:before="0"/>
      </w:pPr>
      <w:r>
        <w:t xml:space="preserve"/>
      </w:r>
    </w:p>
    <w:p>
      <w:pPr>
        <w:spacing w:after="100" w:before="60"/>
      </w:pPr>
      <w:r>
        <w:rPr>
          <w:rFonts w:ascii="Calibri" w:cs="Calibri" w:eastAsia="Calibri" w:hAnsi="Calibri"/>
          <w:color w:val="0F172A"/>
          <w:sz w:val="22"/>
          <w:szCs w:val="22"/>
        </w:rPr>
        <w:t xml:space="preserve">As the project grows, the governance model may evolve toward a steering committee or technical governance board model. Any such change will be made via the RFC process with full community input.</w:t>
      </w:r>
    </w:p>
    <w:p>
      <w:pPr>
        <w:spacing w:after="110" w:before="0"/>
      </w:pPr>
      <w:r>
        <w:t xml:space="preserve"/>
      </w:r>
    </w:p>
    <w:p>
      <w:pPr>
        <w:pStyle w:val="Heading1"/>
        <w:spacing w:after="160" w:before="400"/>
      </w:pPr>
      <w:bookmarkStart w:name="changelog" w:id="1"/>
      <w:r>
        <w:rPr>
          <w:rFonts w:ascii="Calibri" w:cs="Calibri" w:eastAsia="Calibri" w:hAnsi="Calibri"/>
          <w:b/>
          <w:bCs/>
          <w:color w:val="1B2A4A"/>
          <w:sz w:val="34"/>
          <w:szCs w:val="34"/>
        </w:rPr>
        <w:t xml:space="preserve">Changelog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Version</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Date</w:t>
            </w:r>
          </w:p>
        </w:tc>
        <w:tc>
          <w:tcPr>
            <w:tcW w:type="dxa" w:w="6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Change</w:t>
            </w:r>
          </w:p>
        </w:tc>
      </w:tr>
      <w:tr>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1.0</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2025</w:t>
            </w:r>
          </w:p>
        </w:tc>
        <w:tc>
          <w:tcPr>
            <w:tcW w:type="dxa" w:w="6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Initial governance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spacing w:before="120"/>
      <w:jc w:val="right"/>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spacing w:after="120"/>
    </w:pPr>
    <w:r>
      <w:rPr>
        <w:rFonts w:ascii="Calibri" w:cs="Calibri" w:eastAsia="Calibri" w:hAnsi="Calibri"/>
        <w:color w:val="94A3B8"/>
        <w:sz w:val="18"/>
        <w:szCs w:val="18"/>
      </w:rPr>
      <w:t xml:space="preserve">AppThere Loki  ·  Project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D9488"/>
      <w:sz w:val="23"/>
      <w:szCs w:val="23"/>
    </w:rPr>
  </w:style>
  <w:style w:type="paragraph" w:styleId="Heading4">
    <w:name w:val="Heading 4"/>
    <w:basedOn w:val="Normal"/>
    <w:next w:val="Normal"/>
    <w:qFormat/>
    <w:pPr>
      <w:spacing w:after="60" w:before="160"/>
      <w:outlineLvl w:val="3"/>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AppThere Loki — Governance</dc:title>
  <dc:creator>AppThere</dc:creator>
  <cp:lastModifiedBy>Un-named</cp:lastModifiedBy>
  <cp:revision>1</cp:revision>
  <dcterms:created xsi:type="dcterms:W3CDTF">2026-03-05T06:35:23.882Z</dcterms:created>
  <dcterms:modified xsi:type="dcterms:W3CDTF">2026-03-05T06:35:23.882Z</dcterms:modified>
</cp:coreProperties>
</file>

<file path=docProps/custom.xml><?xml version="1.0" encoding="utf-8"?>
<Properties xmlns="http://schemas.openxmlformats.org/officeDocument/2006/custom-properties" xmlns:vt="http://schemas.openxmlformats.org/officeDocument/2006/docPropsVTypes"/>
</file>