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800"/>
        <w:jc w:val="center"/>
      </w:pPr>
      <w:r>
        <w:rPr>
          <w:rFonts w:ascii="Calibri" w:cs="Calibri" w:eastAsia="Calibri" w:hAnsi="Calibri"/>
          <w:b/>
          <w:bCs/>
          <w:color w:val="1B2A4A"/>
          <w:sz w:val="60"/>
          <w:szCs w:val="60"/>
        </w:rPr>
        <w:t xml:space="preserve">AppThere Loki</w:t>
      </w:r>
    </w:p>
    <w:p>
      <w:pPr>
        <w:spacing w:after="200" w:before="0"/>
        <w:jc w:val="center"/>
      </w:pPr>
      <w:r>
        <w:rPr>
          <w:rFonts w:ascii="Calibri" w:cs="Calibri" w:eastAsia="Calibri" w:hAnsi="Calibri"/>
          <w:b/>
          <w:bCs/>
          <w:color w:val="2563EB"/>
          <w:sz w:val="38"/>
          <w:szCs w:val="38"/>
        </w:rPr>
        <w:t xml:space="preserve">Third-Party Licence Inventory</w:t>
      </w:r>
    </w:p>
    <w:p>
      <w:pPr>
        <w:spacing w:after="400" w:before="0"/>
        <w:jc w:val="center"/>
      </w:pPr>
      <w:r>
        <w:rPr>
          <w:rFonts w:ascii="Calibri" w:cs="Calibri" w:eastAsia="Calibri" w:hAnsi="Calibri"/>
          <w:i/>
          <w:iCs/>
          <w:color w:val="94A3B8"/>
          <w:sz w:val="24"/>
          <w:szCs w:val="24"/>
        </w:rPr>
        <w:t xml:space="preserve">All fonts, NuGet packages, and native binaries used by AppThere Loki</w:t>
      </w:r>
    </w:p>
    <w:p>
      <w:r>
        <w:br w:type="page"/>
      </w:r>
    </w:p>
    <w:p>
      <w:pPr>
        <w:pStyle w:val="Heading1"/>
        <w:spacing w:after="160" w:before="400"/>
      </w:pPr>
      <w:bookmarkStart w:name="toc" w:id="1"/>
      <w:r>
        <w:rPr>
          <w:rFonts w:ascii="Calibri" w:cs="Calibri" w:eastAsia="Calibri" w:hAnsi="Calibri"/>
          <w:b/>
          <w:bCs/>
          <w:color w:val="1B2A4A"/>
          <w:sz w:val="34"/>
          <w:szCs w:val="34"/>
        </w:rPr>
        <w:t xml:space="preserve">Table of Contents</w:t>
      </w:r>
      <w:bookmarkEnd w:id="1"/>
    </w:p>
    <w:sdt>
      <w:sdtPr>
        <w:alias w:val="Table of Contents"/>
      </w:sdtPr>
      <w:sdtContent>
        <w:p>
          <w:r>
            <w:fldChar w:fldCharType="begin" w:dirty="true"/>
            <w:instrText xml:space="preserve">TOC \h \o "1-3" \t "Heading 1,1,Heading 2,2,Heading 3,3"</w:instrText>
            <w:fldChar w:fldCharType="separate"/>
          </w:r>
        </w:p>
        <w:p>
          <w:r>
            <w:fldChar w:fldCharType="end"/>
          </w:r>
        </w:p>
      </w:sdtContent>
    </w:sdt>
    <w:p>
      <w:r>
        <w:br w:type="page"/>
      </w:r>
    </w:p>
    <w:p>
      <w:pPr>
        <w:pStyle w:val="Heading1"/>
        <w:spacing w:after="160" w:before="400"/>
      </w:pPr>
      <w:bookmarkStart w:name="overview" w:id="1"/>
      <w:r>
        <w:rPr>
          <w:rFonts w:ascii="Calibri" w:cs="Calibri" w:eastAsia="Calibri" w:hAnsi="Calibri"/>
          <w:b/>
          <w:bCs/>
          <w:color w:val="1B2A4A"/>
          <w:sz w:val="34"/>
          <w:szCs w:val="34"/>
        </w:rPr>
        <w:t xml:space="preserve">1. Overview</w:t>
      </w:r>
      <w:bookmarkEnd w:id="1"/>
    </w:p>
    <w:p>
      <w:pPr>
        <w:spacing w:after="100" w:before="60"/>
      </w:pPr>
      <w:r>
        <w:rPr>
          <w:rFonts w:ascii="Calibri" w:cs="Calibri" w:eastAsia="Calibri" w:hAnsi="Calibri"/>
          <w:color w:val="0F172A"/>
          <w:sz w:val="22"/>
          <w:szCs w:val="22"/>
        </w:rPr>
        <w:t xml:space="preserve">This document lists every third-party component shipped with AppThere Loki, its licence, its source, and its usage. It is maintained manually and updated whenever a dependency is added, removed, or version-bumped.</w:t>
      </w:r>
    </w:p>
    <w:p>
      <w:pPr>
        <w:spacing w:after="11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45309" w:sz="1"/>
              <w:left w:val="single" w:color="B45309" w:sz="16"/>
              <w:bottom w:val="single" w:color="B45309" w:sz="1"/>
              <w:right w:val="single" w:color="B45309" w:sz="1"/>
            </w:tcBorders>
            <w:shd w:fill="FFF7ED" w:val="clear"/>
            <w:tcMar>
              <w:top w:type="dxa" w:w="120"/>
              <w:left w:type="dxa" w:w="240"/>
              <w:bottom w:type="dxa" w:w="120"/>
              <w:right w:type="dxa" w:w="240"/>
            </w:tcMar>
          </w:tcPr>
          <w:p>
            <w:pPr>
              <w:spacing w:after="60"/>
            </w:pPr>
            <w:r>
              <w:rPr>
                <w:rFonts w:ascii="Calibri" w:cs="Calibri" w:eastAsia="Calibri" w:hAnsi="Calibri"/>
                <w:b/>
                <w:bCs/>
                <w:color w:val="B45309"/>
                <w:sz w:val="21"/>
                <w:szCs w:val="21"/>
              </w:rPr>
              <w:t xml:space="preserve">Licence Policy</w:t>
            </w:r>
          </w:p>
          <w:p>
            <w:pPr>
              <w:spacing w:after="36" w:before="0"/>
            </w:pPr>
            <w:r>
              <w:rPr>
                <w:rFonts w:ascii="Calibri" w:cs="Calibri" w:eastAsia="Calibri" w:hAnsi="Calibri"/>
                <w:color w:val="0F172A"/>
                <w:sz w:val="21"/>
                <w:szCs w:val="21"/>
              </w:rPr>
              <w:t xml:space="preserve">All runtime dependencies must be MIT, BSD-2, BSD-3, Apache-2.0, OFL-1.1, or equivalent</w:t>
            </w:r>
          </w:p>
          <w:p>
            <w:pPr>
              <w:spacing w:after="36" w:before="0"/>
            </w:pPr>
            <w:r>
              <w:rPr>
                <w:rFonts w:ascii="Calibri" w:cs="Calibri" w:eastAsia="Calibri" w:hAnsi="Calibri"/>
                <w:color w:val="0F172A"/>
                <w:sz w:val="21"/>
                <w:szCs w:val="21"/>
              </w:rPr>
              <w:t xml:space="preserve">permissive licences. LGPL and GPL dependencies are not permitted in any build path.</w:t>
            </w:r>
          </w:p>
          <w:p>
            <w:pPr>
              <w:spacing w:after="36" w:before="0"/>
            </w:pPr>
            <w:r>
              <w:rPr>
                <w:rFonts w:ascii="Calibri" w:cs="Calibri" w:eastAsia="Calibri" w:hAnsi="Calibri"/>
                <w:color w:val="0F172A"/>
                <w:sz w:val="21"/>
                <w:szCs w:val="21"/>
              </w:rPr>
              <w:t xml:space="preserve">Copyleft licences (LGPL, GPL, AGPL, EUPL, CDDL) require legal review before use.</w:t>
            </w:r>
          </w:p>
          <w:p>
            <w:pPr>
              <w:spacing w:after="36" w:before="0"/>
            </w:pPr>
            <w:r>
              <w:rPr>
                <w:rFonts w:ascii="Calibri" w:cs="Calibri" w:eastAsia="Calibri" w:hAnsi="Calibri"/>
                <w:color w:val="0F172A"/>
                <w:sz w:val="21"/>
                <w:szCs w:val="21"/>
              </w:rPr>
              <w:t xml:space="preserve">When in doubt, open an ADR before adding the dependency.</w:t>
            </w:r>
          </w:p>
        </w:tc>
      </w:tr>
    </w:tbl>
    <w:p>
      <w:pPr>
        <w:spacing w:after="110" w:before="0"/>
      </w:pPr>
      <w:r>
        <w:t xml:space="preserve"/>
      </w:r>
    </w:p>
    <w:p>
      <w:pPr>
        <w:pStyle w:val="Heading1"/>
        <w:spacing w:after="160" w:before="400"/>
      </w:pPr>
      <w:bookmarkStart w:name="fonts" w:id="1"/>
      <w:r>
        <w:rPr>
          <w:rFonts w:ascii="Calibri" w:cs="Calibri" w:eastAsia="Calibri" w:hAnsi="Calibri"/>
          <w:b/>
          <w:bCs/>
          <w:color w:val="1B2A4A"/>
          <w:sz w:val="34"/>
          <w:szCs w:val="34"/>
        </w:rPr>
        <w:t xml:space="preserve">2. Bundled Fonts</w:t>
      </w:r>
      <w:bookmarkEnd w:id="1"/>
    </w:p>
    <w:p>
      <w:pPr>
        <w:spacing w:after="100" w:before="60"/>
      </w:pPr>
      <w:r>
        <w:rPr>
          <w:rFonts w:ascii="Calibri" w:cs="Calibri" w:eastAsia="Calibri" w:hAnsi="Calibri"/>
          <w:color w:val="0F172A"/>
          <w:sz w:val="22"/>
          <w:szCs w:val="22"/>
        </w:rPr>
        <w:t xml:space="preserve">All fonts listed below are licensed under the SIL Open Font Licence 1.1 (OFL-1.1), which permits use, modification, and redistribution in both open and commercial software. Fonts may not be sold standalone.</w:t>
      </w:r>
    </w:p>
    <w:p>
      <w:pPr>
        <w:spacing w:after="110" w:before="0"/>
      </w:pPr>
      <w:r>
        <w:t xml:space="preserve"/>
      </w:r>
    </w:p>
    <w:p>
      <w:pPr>
        <w:spacing w:after="100" w:before="60"/>
      </w:pPr>
      <w:r>
        <w:rPr>
          <w:rFonts w:ascii="Calibri" w:cs="Calibri" w:eastAsia="Calibri" w:hAnsi="Calibri"/>
          <w:color w:val="0F172A"/>
          <w:sz w:val="22"/>
          <w:szCs w:val="22"/>
        </w:rPr>
        <w:t xml:space="preserve">Full OFL-1.1 text: https://openfontlicense.org</w:t>
      </w:r>
    </w:p>
    <w:p>
      <w:pPr>
        <w:spacing w:after="110" w:before="0"/>
      </w:pPr>
      <w:r>
        <w:t xml:space="preserve"/>
      </w:r>
    </w:p>
    <w:p>
      <w:pPr>
        <w:pStyle w:val="Heading2"/>
        <w:spacing w:after="120" w:before="300"/>
      </w:pPr>
      <w:bookmarkStart w:name="fonts_p1" w:id="1"/>
      <w:r>
        <w:rPr>
          <w:rFonts w:ascii="Calibri" w:cs="Calibri" w:eastAsia="Calibri" w:hAnsi="Calibri"/>
          <w:b/>
          <w:bCs/>
          <w:color w:val="2563EB"/>
          <w:sz w:val="26"/>
          <w:szCs w:val="26"/>
        </w:rPr>
        <w:t xml:space="preserve">2.1 Phase 1 Bundled Fonts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1600"/>
        <w:gridCol w:w="1160"/>
      </w:tblGrid>
      <w:tr>
        <w:trPr>
          <w:tblHeader/>
        </w:trPr>
        <w:tc>
          <w:tcPr>
            <w:tcW w:type="dxa" w:w="1800"/>
            <w:tcBorders>
              <w:top w:val="single" w:color="1B2A4A" w:sz="1"/>
              <w:left w:val="single" w:color="1B2A4A" w:sz="1"/>
              <w:bottom w:val="single" w:color="1B2A4A" w:sz="1"/>
              <w:right w:val="single" w:color="1B2A4A" w:sz="1"/>
            </w:tcBorders>
            <w:shd w:fill="1B2A4A" w:val="clear"/>
            <w:tcMar>
              <w:top w:type="dxa" w:w="80"/>
              <w:left w:type="dxa" w:w="160"/>
              <w:bottom w:type="dxa" w:w="80"/>
              <w:right w:type="dxa" w:w="80"/>
            </w:tcMar>
          </w:tcPr>
          <w:p>
            <w:r>
              <w:rPr>
                <w:rFonts w:ascii="Calibri" w:cs="Calibri" w:eastAsia="Calibri" w:hAnsi="Calibri"/>
                <w:b/>
                <w:bCs/>
                <w:color w:val="FFFFFF"/>
                <w:sz w:val="20"/>
                <w:szCs w:val="20"/>
              </w:rPr>
              <w:t xml:space="preserve">Family</w:t>
            </w:r>
          </w:p>
        </w:tc>
        <w:tc>
          <w:tcPr>
            <w:tcW w:type="dxa" w:w="2400"/>
            <w:tcBorders>
              <w:top w:val="single" w:color="1B2A4A" w:sz="1"/>
              <w:left w:val="single" w:color="1B2A4A" w:sz="1"/>
              <w:bottom w:val="single" w:color="1B2A4A" w:sz="1"/>
              <w:right w:val="single" w:color="1B2A4A" w:sz="1"/>
            </w:tcBorders>
            <w:shd w:fill="1B2A4A" w:val="clear"/>
            <w:tcMar>
              <w:top w:type="dxa" w:w="80"/>
              <w:left w:type="dxa" w:w="160"/>
              <w:bottom w:type="dxa" w:w="80"/>
              <w:right w:type="dxa" w:w="80"/>
            </w:tcMar>
          </w:tcPr>
          <w:p>
            <w:r>
              <w:rPr>
                <w:rFonts w:ascii="Calibri" w:cs="Calibri" w:eastAsia="Calibri" w:hAnsi="Calibri"/>
                <w:b/>
                <w:bCs/>
                <w:color w:val="FFFFFF"/>
                <w:sz w:val="20"/>
                <w:szCs w:val="20"/>
              </w:rPr>
              <w:t xml:space="preserve">Source</w:t>
            </w:r>
          </w:p>
        </w:tc>
        <w:tc>
          <w:tcPr>
            <w:tcW w:type="dxa" w:w="2400"/>
            <w:tcBorders>
              <w:top w:val="single" w:color="1B2A4A" w:sz="1"/>
              <w:left w:val="single" w:color="1B2A4A" w:sz="1"/>
              <w:bottom w:val="single" w:color="1B2A4A" w:sz="1"/>
              <w:right w:val="single" w:color="1B2A4A" w:sz="1"/>
            </w:tcBorders>
            <w:shd w:fill="1B2A4A" w:val="clear"/>
            <w:tcMar>
              <w:top w:type="dxa" w:w="80"/>
              <w:left w:type="dxa" w:w="160"/>
              <w:bottom w:type="dxa" w:w="80"/>
              <w:right w:type="dxa" w:w="80"/>
            </w:tcMar>
          </w:tcPr>
          <w:p>
            <w:r>
              <w:rPr>
                <w:rFonts w:ascii="Calibri" w:cs="Calibri" w:eastAsia="Calibri" w:hAnsi="Calibri"/>
                <w:b/>
                <w:bCs/>
                <w:color w:val="FFFFFF"/>
                <w:sz w:val="20"/>
                <w:szCs w:val="20"/>
              </w:rPr>
              <w:t xml:space="preserve">File</w:t>
            </w:r>
          </w:p>
        </w:tc>
        <w:tc>
          <w:tcPr>
            <w:tcW w:type="dxa" w:w="1600"/>
            <w:tcBorders>
              <w:top w:val="single" w:color="1B2A4A" w:sz="1"/>
              <w:left w:val="single" w:color="1B2A4A" w:sz="1"/>
              <w:bottom w:val="single" w:color="1B2A4A" w:sz="1"/>
              <w:right w:val="single" w:color="1B2A4A" w:sz="1"/>
            </w:tcBorders>
            <w:shd w:fill="1B2A4A" w:val="clear"/>
            <w:tcMar>
              <w:top w:type="dxa" w:w="80"/>
              <w:left w:type="dxa" w:w="160"/>
              <w:bottom w:type="dxa" w:w="80"/>
              <w:right w:type="dxa" w:w="80"/>
            </w:tcMar>
          </w:tcPr>
          <w:p>
            <w:r>
              <w:rPr>
                <w:rFonts w:ascii="Calibri" w:cs="Calibri" w:eastAsia="Calibri" w:hAnsi="Calibri"/>
                <w:b/>
                <w:bCs/>
                <w:color w:val="FFFFFF"/>
                <w:sz w:val="20"/>
                <w:szCs w:val="20"/>
              </w:rPr>
              <w:t xml:space="preserve">Axes</w:t>
            </w:r>
          </w:p>
        </w:tc>
        <w:tc>
          <w:tcPr>
            <w:tcW w:type="dxa" w:w="1160"/>
            <w:tcBorders>
              <w:top w:val="single" w:color="1B2A4A" w:sz="1"/>
              <w:left w:val="single" w:color="1B2A4A" w:sz="1"/>
              <w:bottom w:val="single" w:color="1B2A4A" w:sz="1"/>
              <w:right w:val="single" w:color="1B2A4A" w:sz="1"/>
            </w:tcBorders>
            <w:shd w:fill="1B2A4A" w:val="clear"/>
            <w:tcMar>
              <w:top w:type="dxa" w:w="80"/>
              <w:left w:type="dxa" w:w="160"/>
              <w:bottom w:type="dxa" w:w="80"/>
              <w:right w:type="dxa" w:w="80"/>
            </w:tcMar>
          </w:tcPr>
          <w:p>
            <w:r>
              <w:rPr>
                <w:rFonts w:ascii="Calibri" w:cs="Calibri" w:eastAsia="Calibri" w:hAnsi="Calibri"/>
                <w:b/>
                <w:bCs/>
                <w:color w:val="FFFFFF"/>
                <w:sz w:val="20"/>
                <w:szCs w:val="20"/>
              </w:rPr>
              <w:t xml:space="preserve">Licence</w:t>
            </w:r>
          </w:p>
        </w:tc>
      </w:tr>
      <w:tr>
        <w:tc>
          <w:tcPr>
            <w:tcW w:type="dxa" w:w="18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Inter</w:t>
            </w:r>
          </w:p>
        </w:tc>
        <w:tc>
          <w:tcPr>
            <w:tcW w:type="dxa" w:w="24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Google Fonts / Rasmus Andersson</w:t>
            </w:r>
          </w:p>
        </w:tc>
        <w:tc>
          <w:tcPr>
            <w:tcW w:type="dxa" w:w="24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Inter[opsz,wght].ttf</w:t>
            </w:r>
          </w:p>
        </w:tc>
        <w:tc>
          <w:tcPr>
            <w:tcW w:type="dxa" w:w="16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wght 100–900, opsz 14–32</w:t>
            </w:r>
          </w:p>
        </w:tc>
        <w:tc>
          <w:tcPr>
            <w:tcW w:type="dxa" w:w="116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OFL-1.1</w:t>
            </w:r>
          </w:p>
        </w:tc>
      </w:tr>
      <w:tr>
        <w:tc>
          <w:tcPr>
            <w:tcW w:type="dxa" w:w="18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Newsreader</w:t>
            </w:r>
          </w:p>
        </w:tc>
        <w:tc>
          <w:tcPr>
            <w:tcW w:type="dxa" w:w="24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Google Fonts / Production Type</w:t>
            </w:r>
          </w:p>
        </w:tc>
        <w:tc>
          <w:tcPr>
            <w:tcW w:type="dxa" w:w="24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Newsreader[opsz,wght].ttf</w:t>
            </w:r>
          </w:p>
        </w:tc>
        <w:tc>
          <w:tcPr>
            <w:tcW w:type="dxa" w:w="16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wght 200–800, opsz 6–72</w:t>
            </w:r>
          </w:p>
        </w:tc>
        <w:tc>
          <w:tcPr>
            <w:tcW w:type="dxa" w:w="116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OFL-1.1</w:t>
            </w:r>
          </w:p>
        </w:tc>
      </w:tr>
      <w:tr>
        <w:tc>
          <w:tcPr>
            <w:tcW w:type="dxa" w:w="18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Noto Sans Arabic</w:t>
            </w:r>
          </w:p>
        </w:tc>
        <w:tc>
          <w:tcPr>
            <w:tcW w:type="dxa" w:w="24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Google Fonts / Google</w:t>
            </w:r>
          </w:p>
        </w:tc>
        <w:tc>
          <w:tcPr>
            <w:tcW w:type="dxa" w:w="24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NotoSansArabic[wght].ttf</w:t>
            </w:r>
          </w:p>
        </w:tc>
        <w:tc>
          <w:tcPr>
            <w:tcW w:type="dxa" w:w="16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wght 100–900</w:t>
            </w:r>
          </w:p>
        </w:tc>
        <w:tc>
          <w:tcPr>
            <w:tcW w:type="dxa" w:w="116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OFL-1.1</w:t>
            </w:r>
          </w:p>
        </w:tc>
      </w:tr>
      <w:tr>
        <w:tc>
          <w:tcPr>
            <w:tcW w:type="dxa" w:w="18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Noto Sans SC</w:t>
            </w:r>
          </w:p>
        </w:tc>
        <w:tc>
          <w:tcPr>
            <w:tcW w:type="dxa" w:w="24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Google Fonts / Google</w:t>
            </w:r>
          </w:p>
        </w:tc>
        <w:tc>
          <w:tcPr>
            <w:tcW w:type="dxa" w:w="24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NotoSansSC[wght].ttf</w:t>
            </w:r>
          </w:p>
        </w:tc>
        <w:tc>
          <w:tcPr>
            <w:tcW w:type="dxa" w:w="16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wght 100–900</w:t>
            </w:r>
          </w:p>
        </w:tc>
        <w:tc>
          <w:tcPr>
            <w:tcW w:type="dxa" w:w="116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OFL-1.1</w:t>
            </w:r>
          </w:p>
        </w:tc>
      </w:tr>
      <w:tr>
        <w:tc>
          <w:tcPr>
            <w:tcW w:type="dxa" w:w="18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Noto Color Emoji</w:t>
            </w:r>
          </w:p>
        </w:tc>
        <w:tc>
          <w:tcPr>
            <w:tcW w:type="dxa" w:w="24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Google Fonts / Google</w:t>
            </w:r>
          </w:p>
        </w:tc>
        <w:tc>
          <w:tcPr>
            <w:tcW w:type="dxa" w:w="24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NotoColorEmoji.ttf</w:t>
            </w:r>
          </w:p>
        </w:tc>
        <w:tc>
          <w:tcPr>
            <w:tcW w:type="dxa" w:w="16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w:t>
            </w:r>
          </w:p>
        </w:tc>
        <w:tc>
          <w:tcPr>
            <w:tcW w:type="dxa" w:w="116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OFL-1.1</w:t>
            </w:r>
          </w:p>
        </w:tc>
      </w:tr>
    </w:tbl>
    <w:p>
      <w:pPr>
        <w:spacing w:after="110" w:before="0"/>
      </w:pPr>
      <w:r>
        <w:t xml:space="preserve"/>
      </w:r>
    </w:p>
    <w:p>
      <w:pPr>
        <w:pStyle w:val="Heading2"/>
        <w:spacing w:after="120" w:before="300"/>
      </w:pPr>
      <w:bookmarkStart w:name="fonts_p4" w:id="1"/>
      <w:r>
        <w:rPr>
          <w:rFonts w:ascii="Calibri" w:cs="Calibri" w:eastAsia="Calibri" w:hAnsi="Calibri"/>
          <w:b/>
          <w:bCs/>
          <w:color w:val="2563EB"/>
          <w:sz w:val="26"/>
          <w:szCs w:val="26"/>
        </w:rPr>
        <w:t xml:space="preserve">2.2 Phase 4 Bundled Fonts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1600"/>
        <w:gridCol w:w="1360"/>
      </w:tblGrid>
      <w:tr>
        <w:trPr>
          <w:tblHeader/>
        </w:trPr>
        <w:tc>
          <w:tcPr>
            <w:tcW w:type="dxa" w:w="2000"/>
            <w:tcBorders>
              <w:top w:val="single" w:color="1B2A4A" w:sz="1"/>
              <w:left w:val="single" w:color="1B2A4A" w:sz="1"/>
              <w:bottom w:val="single" w:color="1B2A4A" w:sz="1"/>
              <w:right w:val="single" w:color="1B2A4A" w:sz="1"/>
            </w:tcBorders>
            <w:shd w:fill="1B2A4A" w:val="clear"/>
            <w:tcMar>
              <w:top w:type="dxa" w:w="80"/>
              <w:left w:type="dxa" w:w="160"/>
              <w:bottom w:type="dxa" w:w="80"/>
              <w:right w:type="dxa" w:w="80"/>
            </w:tcMar>
          </w:tcPr>
          <w:p>
            <w:r>
              <w:rPr>
                <w:rFonts w:ascii="Calibri" w:cs="Calibri" w:eastAsia="Calibri" w:hAnsi="Calibri"/>
                <w:b/>
                <w:bCs/>
                <w:color w:val="FFFFFF"/>
                <w:sz w:val="20"/>
                <w:szCs w:val="20"/>
              </w:rPr>
              <w:t xml:space="preserve">Family</w:t>
            </w:r>
          </w:p>
        </w:tc>
        <w:tc>
          <w:tcPr>
            <w:tcW w:type="dxa" w:w="2200"/>
            <w:tcBorders>
              <w:top w:val="single" w:color="1B2A4A" w:sz="1"/>
              <w:left w:val="single" w:color="1B2A4A" w:sz="1"/>
              <w:bottom w:val="single" w:color="1B2A4A" w:sz="1"/>
              <w:right w:val="single" w:color="1B2A4A" w:sz="1"/>
            </w:tcBorders>
            <w:shd w:fill="1B2A4A" w:val="clear"/>
            <w:tcMar>
              <w:top w:type="dxa" w:w="80"/>
              <w:left w:type="dxa" w:w="160"/>
              <w:bottom w:type="dxa" w:w="80"/>
              <w:right w:type="dxa" w:w="80"/>
            </w:tcMar>
          </w:tcPr>
          <w:p>
            <w:r>
              <w:rPr>
                <w:rFonts w:ascii="Calibri" w:cs="Calibri" w:eastAsia="Calibri" w:hAnsi="Calibri"/>
                <w:b/>
                <w:bCs/>
                <w:color w:val="FFFFFF"/>
                <w:sz w:val="20"/>
                <w:szCs w:val="20"/>
              </w:rPr>
              <w:t xml:space="preserve">Source</w:t>
            </w:r>
          </w:p>
        </w:tc>
        <w:tc>
          <w:tcPr>
            <w:tcW w:type="dxa" w:w="2200"/>
            <w:tcBorders>
              <w:top w:val="single" w:color="1B2A4A" w:sz="1"/>
              <w:left w:val="single" w:color="1B2A4A" w:sz="1"/>
              <w:bottom w:val="single" w:color="1B2A4A" w:sz="1"/>
              <w:right w:val="single" w:color="1B2A4A" w:sz="1"/>
            </w:tcBorders>
            <w:shd w:fill="1B2A4A" w:val="clear"/>
            <w:tcMar>
              <w:top w:type="dxa" w:w="80"/>
              <w:left w:type="dxa" w:w="160"/>
              <w:bottom w:type="dxa" w:w="80"/>
              <w:right w:type="dxa" w:w="80"/>
            </w:tcMar>
          </w:tcPr>
          <w:p>
            <w:r>
              <w:rPr>
                <w:rFonts w:ascii="Calibri" w:cs="Calibri" w:eastAsia="Calibri" w:hAnsi="Calibri"/>
                <w:b/>
                <w:bCs/>
                <w:color w:val="FFFFFF"/>
                <w:sz w:val="20"/>
                <w:szCs w:val="20"/>
              </w:rPr>
              <w:t xml:space="preserve">File</w:t>
            </w:r>
          </w:p>
        </w:tc>
        <w:tc>
          <w:tcPr>
            <w:tcW w:type="dxa" w:w="1600"/>
            <w:tcBorders>
              <w:top w:val="single" w:color="1B2A4A" w:sz="1"/>
              <w:left w:val="single" w:color="1B2A4A" w:sz="1"/>
              <w:bottom w:val="single" w:color="1B2A4A" w:sz="1"/>
              <w:right w:val="single" w:color="1B2A4A" w:sz="1"/>
            </w:tcBorders>
            <w:shd w:fill="1B2A4A" w:val="clear"/>
            <w:tcMar>
              <w:top w:type="dxa" w:w="80"/>
              <w:left w:type="dxa" w:w="160"/>
              <w:bottom w:type="dxa" w:w="80"/>
              <w:right w:type="dxa" w:w="80"/>
            </w:tcMar>
          </w:tcPr>
          <w:p>
            <w:r>
              <w:rPr>
                <w:rFonts w:ascii="Calibri" w:cs="Calibri" w:eastAsia="Calibri" w:hAnsi="Calibri"/>
                <w:b/>
                <w:bCs/>
                <w:color w:val="FFFFFF"/>
                <w:sz w:val="20"/>
                <w:szCs w:val="20"/>
              </w:rPr>
              <w:t xml:space="preserve">Axes</w:t>
            </w:r>
          </w:p>
        </w:tc>
        <w:tc>
          <w:tcPr>
            <w:tcW w:type="dxa" w:w="1360"/>
            <w:tcBorders>
              <w:top w:val="single" w:color="1B2A4A" w:sz="1"/>
              <w:left w:val="single" w:color="1B2A4A" w:sz="1"/>
              <w:bottom w:val="single" w:color="1B2A4A" w:sz="1"/>
              <w:right w:val="single" w:color="1B2A4A" w:sz="1"/>
            </w:tcBorders>
            <w:shd w:fill="1B2A4A" w:val="clear"/>
            <w:tcMar>
              <w:top w:type="dxa" w:w="80"/>
              <w:left w:type="dxa" w:w="160"/>
              <w:bottom w:type="dxa" w:w="80"/>
              <w:right w:type="dxa" w:w="80"/>
            </w:tcMar>
          </w:tcPr>
          <w:p>
            <w:r>
              <w:rPr>
                <w:rFonts w:ascii="Calibri" w:cs="Calibri" w:eastAsia="Calibri" w:hAnsi="Calibri"/>
                <w:b/>
                <w:bCs/>
                <w:color w:val="FFFFFF"/>
                <w:sz w:val="20"/>
                <w:szCs w:val="20"/>
              </w:rPr>
              <w:t xml:space="preserve">Licence</w:t>
            </w:r>
          </w:p>
        </w:tc>
      </w:tr>
      <w:tr>
        <w:tc>
          <w:tcPr>
            <w:tcW w:type="dxa" w:w="20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Atkinson Hyperlegible Next</w:t>
            </w:r>
          </w:p>
        </w:tc>
        <w:tc>
          <w:tcPr>
            <w:tcW w:type="dxa" w:w="22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Braille Institute / Google Fonts</w:t>
            </w:r>
          </w:p>
        </w:tc>
        <w:tc>
          <w:tcPr>
            <w:tcW w:type="dxa" w:w="22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AtkinsonHyperlegibleNext[wght].ttf</w:t>
            </w:r>
          </w:p>
        </w:tc>
        <w:tc>
          <w:tcPr>
            <w:tcW w:type="dxa" w:w="16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wght 200–800</w:t>
            </w:r>
          </w:p>
        </w:tc>
        <w:tc>
          <w:tcPr>
            <w:tcW w:type="dxa" w:w="136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OFL-1.1</w:t>
            </w:r>
          </w:p>
        </w:tc>
      </w:tr>
      <w:tr>
        <w:tc>
          <w:tcPr>
            <w:tcW w:type="dxa" w:w="20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Lexend</w:t>
            </w:r>
          </w:p>
        </w:tc>
        <w:tc>
          <w:tcPr>
            <w:tcW w:type="dxa" w:w="22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Google Fonts / Thomas Jockin</w:t>
            </w:r>
          </w:p>
        </w:tc>
        <w:tc>
          <w:tcPr>
            <w:tcW w:type="dxa" w:w="22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Lexend[wght].ttf</w:t>
            </w:r>
          </w:p>
        </w:tc>
        <w:tc>
          <w:tcPr>
            <w:tcW w:type="dxa" w:w="16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wght 100–900</w:t>
            </w:r>
          </w:p>
        </w:tc>
        <w:tc>
          <w:tcPr>
            <w:tcW w:type="dxa" w:w="136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OFL-1.1</w:t>
            </w:r>
          </w:p>
        </w:tc>
      </w:tr>
      <w:tr>
        <w:tc>
          <w:tcPr>
            <w:tcW w:type="dxa" w:w="20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Public Sans</w:t>
            </w:r>
          </w:p>
        </w:tc>
        <w:tc>
          <w:tcPr>
            <w:tcW w:type="dxa" w:w="22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Google Fonts / USWDS</w:t>
            </w:r>
          </w:p>
        </w:tc>
        <w:tc>
          <w:tcPr>
            <w:tcW w:type="dxa" w:w="22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PublicSans[wght].ttf + Italic</w:t>
            </w:r>
          </w:p>
        </w:tc>
        <w:tc>
          <w:tcPr>
            <w:tcW w:type="dxa" w:w="16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wght 100–900</w:t>
            </w:r>
          </w:p>
        </w:tc>
        <w:tc>
          <w:tcPr>
            <w:tcW w:type="dxa" w:w="136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OFL-1.1</w:t>
            </w:r>
          </w:p>
        </w:tc>
      </w:tr>
      <w:tr>
        <w:tc>
          <w:tcPr>
            <w:tcW w:type="dxa" w:w="20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Cormorant</w:t>
            </w:r>
          </w:p>
        </w:tc>
        <w:tc>
          <w:tcPr>
            <w:tcW w:type="dxa" w:w="22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Google Fonts / Christian Thalmann</w:t>
            </w:r>
          </w:p>
        </w:tc>
        <w:tc>
          <w:tcPr>
            <w:tcW w:type="dxa" w:w="22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Cormorant[wght].ttf + Italic</w:t>
            </w:r>
          </w:p>
        </w:tc>
        <w:tc>
          <w:tcPr>
            <w:tcW w:type="dxa" w:w="16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wght 300–700</w:t>
            </w:r>
          </w:p>
        </w:tc>
        <w:tc>
          <w:tcPr>
            <w:tcW w:type="dxa" w:w="136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OFL-1.1</w:t>
            </w:r>
          </w:p>
        </w:tc>
      </w:tr>
      <w:tr>
        <w:tc>
          <w:tcPr>
            <w:tcW w:type="dxa" w:w="20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Bodoni Moda</w:t>
            </w:r>
          </w:p>
        </w:tc>
        <w:tc>
          <w:tcPr>
            <w:tcW w:type="dxa" w:w="22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Google Fonts / Indestructible Type</w:t>
            </w:r>
          </w:p>
        </w:tc>
        <w:tc>
          <w:tcPr>
            <w:tcW w:type="dxa" w:w="22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BodoniModa[opsz,wght].ttf + Italic</w:t>
            </w:r>
          </w:p>
        </w:tc>
        <w:tc>
          <w:tcPr>
            <w:tcW w:type="dxa" w:w="16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wght 400–900, opsz 6–96</w:t>
            </w:r>
          </w:p>
        </w:tc>
        <w:tc>
          <w:tcPr>
            <w:tcW w:type="dxa" w:w="136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OFL-1.1</w:t>
            </w:r>
          </w:p>
        </w:tc>
      </w:tr>
      <w:tr>
        <w:tc>
          <w:tcPr>
            <w:tcW w:type="dxa" w:w="20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JetBrains Mono</w:t>
            </w:r>
          </w:p>
        </w:tc>
        <w:tc>
          <w:tcPr>
            <w:tcW w:type="dxa" w:w="22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JetBrains / Google Fonts</w:t>
            </w:r>
          </w:p>
        </w:tc>
        <w:tc>
          <w:tcPr>
            <w:tcW w:type="dxa" w:w="22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JetBrainsMono[wght].ttf + Italic</w:t>
            </w:r>
          </w:p>
        </w:tc>
        <w:tc>
          <w:tcPr>
            <w:tcW w:type="dxa" w:w="16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wght 100–800</w:t>
            </w:r>
          </w:p>
        </w:tc>
        <w:tc>
          <w:tcPr>
            <w:tcW w:type="dxa" w:w="136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OFL-1.1</w:t>
            </w:r>
          </w:p>
        </w:tc>
      </w:tr>
      <w:tr>
        <w:tc>
          <w:tcPr>
            <w:tcW w:type="dxa" w:w="20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Noto Sans Hebrew</w:t>
            </w:r>
          </w:p>
        </w:tc>
        <w:tc>
          <w:tcPr>
            <w:tcW w:type="dxa" w:w="22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Google Fonts / Google</w:t>
            </w:r>
          </w:p>
        </w:tc>
        <w:tc>
          <w:tcPr>
            <w:tcW w:type="dxa" w:w="22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NotoSansHebrew[wdth,wght].ttf</w:t>
            </w:r>
          </w:p>
        </w:tc>
        <w:tc>
          <w:tcPr>
            <w:tcW w:type="dxa" w:w="16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wdth 75–125, wght 100–900</w:t>
            </w:r>
          </w:p>
        </w:tc>
        <w:tc>
          <w:tcPr>
            <w:tcW w:type="dxa" w:w="136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OFL-1.1</w:t>
            </w:r>
          </w:p>
        </w:tc>
      </w:tr>
      <w:tr>
        <w:tc>
          <w:tcPr>
            <w:tcW w:type="dxa" w:w="20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Noto Sans Devanagari</w:t>
            </w:r>
          </w:p>
        </w:tc>
        <w:tc>
          <w:tcPr>
            <w:tcW w:type="dxa" w:w="22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Google Fonts / Google</w:t>
            </w:r>
          </w:p>
        </w:tc>
        <w:tc>
          <w:tcPr>
            <w:tcW w:type="dxa" w:w="22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NotoSansDevanagari[wdth,wght].ttf</w:t>
            </w:r>
          </w:p>
        </w:tc>
        <w:tc>
          <w:tcPr>
            <w:tcW w:type="dxa" w:w="16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wdth 75–125, wght 100–900</w:t>
            </w:r>
          </w:p>
        </w:tc>
        <w:tc>
          <w:tcPr>
            <w:tcW w:type="dxa" w:w="136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OFL-1.1</w:t>
            </w:r>
          </w:p>
        </w:tc>
      </w:tr>
    </w:tbl>
    <w:p>
      <w:pPr>
        <w:spacing w:after="110" w:before="0"/>
      </w:pPr>
      <w:r>
        <w:t xml:space="preserve"/>
      </w:r>
    </w:p>
    <w:p>
      <w:pPr>
        <w:pStyle w:val="Heading1"/>
        <w:spacing w:after="160" w:before="400"/>
      </w:pPr>
      <w:bookmarkStart w:name="nuget" w:id="1"/>
      <w:r>
        <w:rPr>
          <w:rFonts w:ascii="Calibri" w:cs="Calibri" w:eastAsia="Calibri" w:hAnsi="Calibri"/>
          <w:b/>
          <w:bCs/>
          <w:color w:val="1B2A4A"/>
          <w:sz w:val="34"/>
          <w:szCs w:val="34"/>
        </w:rPr>
        <w:t xml:space="preserve">3. NuGet Packages</w:t>
      </w:r>
      <w:bookmarkEnd w:id="1"/>
    </w:p>
    <w:p>
      <w:pPr>
        <w:pStyle w:val="Heading2"/>
        <w:spacing w:after="120" w:before="300"/>
      </w:pPr>
      <w:bookmarkStart w:name="nuget_runtime" w:id="1"/>
      <w:r>
        <w:rPr>
          <w:rFonts w:ascii="Calibri" w:cs="Calibri" w:eastAsia="Calibri" w:hAnsi="Calibri"/>
          <w:b/>
          <w:bCs/>
          <w:color w:val="2563EB"/>
          <w:sz w:val="26"/>
          <w:szCs w:val="26"/>
        </w:rPr>
        <w:t xml:space="preserve">3.1 Runtime Dependencies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1760"/>
        <w:gridCol w:w="2400"/>
      </w:tblGrid>
      <w:tr>
        <w:trPr>
          <w:tblHeader/>
        </w:trPr>
        <w:tc>
          <w:tcPr>
            <w:tcW w:type="dxa" w:w="2800"/>
            <w:tcBorders>
              <w:top w:val="single" w:color="1B2A4A" w:sz="1"/>
              <w:left w:val="single" w:color="1B2A4A" w:sz="1"/>
              <w:bottom w:val="single" w:color="1B2A4A" w:sz="1"/>
              <w:right w:val="single" w:color="1B2A4A" w:sz="1"/>
            </w:tcBorders>
            <w:shd w:fill="1B2A4A" w:val="clear"/>
            <w:tcMar>
              <w:top w:type="dxa" w:w="80"/>
              <w:left w:type="dxa" w:w="160"/>
              <w:bottom w:type="dxa" w:w="80"/>
              <w:right w:type="dxa" w:w="80"/>
            </w:tcMar>
          </w:tcPr>
          <w:p>
            <w:r>
              <w:rPr>
                <w:rFonts w:ascii="Calibri" w:cs="Calibri" w:eastAsia="Calibri" w:hAnsi="Calibri"/>
                <w:b/>
                <w:bCs/>
                <w:color w:val="FFFFFF"/>
                <w:sz w:val="20"/>
                <w:szCs w:val="20"/>
              </w:rPr>
              <w:t xml:space="preserve">Package</w:t>
            </w:r>
          </w:p>
        </w:tc>
        <w:tc>
          <w:tcPr>
            <w:tcW w:type="dxa" w:w="1200"/>
            <w:tcBorders>
              <w:top w:val="single" w:color="1B2A4A" w:sz="1"/>
              <w:left w:val="single" w:color="1B2A4A" w:sz="1"/>
              <w:bottom w:val="single" w:color="1B2A4A" w:sz="1"/>
              <w:right w:val="single" w:color="1B2A4A" w:sz="1"/>
            </w:tcBorders>
            <w:shd w:fill="1B2A4A" w:val="clear"/>
            <w:tcMar>
              <w:top w:type="dxa" w:w="80"/>
              <w:left w:type="dxa" w:w="160"/>
              <w:bottom w:type="dxa" w:w="80"/>
              <w:right w:type="dxa" w:w="80"/>
            </w:tcMar>
          </w:tcPr>
          <w:p>
            <w:r>
              <w:rPr>
                <w:rFonts w:ascii="Calibri" w:cs="Calibri" w:eastAsia="Calibri" w:hAnsi="Calibri"/>
                <w:b/>
                <w:bCs/>
                <w:color w:val="FFFFFF"/>
                <w:sz w:val="20"/>
                <w:szCs w:val="20"/>
              </w:rPr>
              <w:t xml:space="preserve">Version</w:t>
            </w:r>
          </w:p>
        </w:tc>
        <w:tc>
          <w:tcPr>
            <w:tcW w:type="dxa" w:w="1200"/>
            <w:tcBorders>
              <w:top w:val="single" w:color="1B2A4A" w:sz="1"/>
              <w:left w:val="single" w:color="1B2A4A" w:sz="1"/>
              <w:bottom w:val="single" w:color="1B2A4A" w:sz="1"/>
              <w:right w:val="single" w:color="1B2A4A" w:sz="1"/>
            </w:tcBorders>
            <w:shd w:fill="1B2A4A" w:val="clear"/>
            <w:tcMar>
              <w:top w:type="dxa" w:w="80"/>
              <w:left w:type="dxa" w:w="160"/>
              <w:bottom w:type="dxa" w:w="80"/>
              <w:right w:type="dxa" w:w="80"/>
            </w:tcMar>
          </w:tcPr>
          <w:p>
            <w:r>
              <w:rPr>
                <w:rFonts w:ascii="Calibri" w:cs="Calibri" w:eastAsia="Calibri" w:hAnsi="Calibri"/>
                <w:b/>
                <w:bCs/>
                <w:color w:val="FFFFFF"/>
                <w:sz w:val="20"/>
                <w:szCs w:val="20"/>
              </w:rPr>
              <w:t xml:space="preserve">Licence</w:t>
            </w:r>
          </w:p>
        </w:tc>
        <w:tc>
          <w:tcPr>
            <w:tcW w:type="dxa" w:w="1760"/>
            <w:tcBorders>
              <w:top w:val="single" w:color="1B2A4A" w:sz="1"/>
              <w:left w:val="single" w:color="1B2A4A" w:sz="1"/>
              <w:bottom w:val="single" w:color="1B2A4A" w:sz="1"/>
              <w:right w:val="single" w:color="1B2A4A" w:sz="1"/>
            </w:tcBorders>
            <w:shd w:fill="1B2A4A" w:val="clear"/>
            <w:tcMar>
              <w:top w:type="dxa" w:w="80"/>
              <w:left w:type="dxa" w:w="160"/>
              <w:bottom w:type="dxa" w:w="80"/>
              <w:right w:type="dxa" w:w="80"/>
            </w:tcMar>
          </w:tcPr>
          <w:p>
            <w:r>
              <w:rPr>
                <w:rFonts w:ascii="Calibri" w:cs="Calibri" w:eastAsia="Calibri" w:hAnsi="Calibri"/>
                <w:b/>
                <w:bCs/>
                <w:color w:val="FFFFFF"/>
                <w:sz w:val="20"/>
                <w:szCs w:val="20"/>
              </w:rPr>
              <w:t xml:space="preserve">Used In</w:t>
            </w:r>
          </w:p>
        </w:tc>
        <w:tc>
          <w:tcPr>
            <w:tcW w:type="dxa" w:w="2400"/>
            <w:tcBorders>
              <w:top w:val="single" w:color="1B2A4A" w:sz="1"/>
              <w:left w:val="single" w:color="1B2A4A" w:sz="1"/>
              <w:bottom w:val="single" w:color="1B2A4A" w:sz="1"/>
              <w:right w:val="single" w:color="1B2A4A" w:sz="1"/>
            </w:tcBorders>
            <w:shd w:fill="1B2A4A" w:val="clear"/>
            <w:tcMar>
              <w:top w:type="dxa" w:w="80"/>
              <w:left w:type="dxa" w:w="160"/>
              <w:bottom w:type="dxa" w:w="80"/>
              <w:right w:type="dxa" w:w="80"/>
            </w:tcMar>
          </w:tcPr>
          <w:p>
            <w:r>
              <w:rPr>
                <w:rFonts w:ascii="Calibri" w:cs="Calibri" w:eastAsia="Calibri" w:hAnsi="Calibri"/>
                <w:b/>
                <w:bCs/>
                <w:color w:val="FFFFFF"/>
                <w:sz w:val="20"/>
                <w:szCs w:val="20"/>
              </w:rPr>
              <w:t xml:space="preserve">Notes</w:t>
            </w:r>
          </w:p>
        </w:tc>
      </w:tr>
      <w:tr>
        <w:tc>
          <w:tcPr>
            <w:tcW w:type="dxa" w:w="28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SkiaSharp</w:t>
            </w:r>
          </w:p>
        </w:tc>
        <w:tc>
          <w:tcPr>
            <w:tcW w:type="dxa" w:w="12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2.88.x</w:t>
            </w:r>
          </w:p>
        </w:tc>
        <w:tc>
          <w:tcPr>
            <w:tcW w:type="dxa" w:w="12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MIT</w:t>
            </w:r>
          </w:p>
        </w:tc>
        <w:tc>
          <w:tcPr>
            <w:tcW w:type="dxa" w:w="176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Loki.Skia</w:t>
            </w:r>
          </w:p>
        </w:tc>
        <w:tc>
          <w:tcPr>
            <w:tcW w:type="dxa" w:w="24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Wrapper over Google Skia (BSD-3 — see §4)</w:t>
            </w:r>
          </w:p>
        </w:tc>
      </w:tr>
      <w:tr>
        <w:tc>
          <w:tcPr>
            <w:tcW w:type="dxa" w:w="28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SkiaSharp.HarfBuzz</w:t>
            </w:r>
          </w:p>
        </w:tc>
        <w:tc>
          <w:tcPr>
            <w:tcW w:type="dxa" w:w="12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2.88.x</w:t>
            </w:r>
          </w:p>
        </w:tc>
        <w:tc>
          <w:tcPr>
            <w:tcW w:type="dxa" w:w="12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MIT</w:t>
            </w:r>
          </w:p>
        </w:tc>
        <w:tc>
          <w:tcPr>
            <w:tcW w:type="dxa" w:w="176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Loki.Skia</w:t>
            </w:r>
          </w:p>
        </w:tc>
        <w:tc>
          <w:tcPr>
            <w:tcW w:type="dxa" w:w="24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HarfBuzz text shaping (MIT — see §4)</w:t>
            </w:r>
          </w:p>
        </w:tc>
      </w:tr>
      <w:tr>
        <w:tc>
          <w:tcPr>
            <w:tcW w:type="dxa" w:w="28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SkiaSharp.NativeAssets.Win32</w:t>
            </w:r>
          </w:p>
        </w:tc>
        <w:tc>
          <w:tcPr>
            <w:tcW w:type="dxa" w:w="12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2.88.x</w:t>
            </w:r>
          </w:p>
        </w:tc>
        <w:tc>
          <w:tcPr>
            <w:tcW w:type="dxa" w:w="12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MIT</w:t>
            </w:r>
          </w:p>
        </w:tc>
        <w:tc>
          <w:tcPr>
            <w:tcW w:type="dxa" w:w="176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Loki.Skia (Win)</w:t>
            </w:r>
          </w:p>
        </w:tc>
        <w:tc>
          <w:tcPr>
            <w:tcW w:type="dxa" w:w="24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Native libSkiaSharp.dll for Windows</w:t>
            </w:r>
          </w:p>
        </w:tc>
      </w:tr>
      <w:tr>
        <w:tc>
          <w:tcPr>
            <w:tcW w:type="dxa" w:w="28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SkiaSharp.NativeAssets.macOS</w:t>
            </w:r>
          </w:p>
        </w:tc>
        <w:tc>
          <w:tcPr>
            <w:tcW w:type="dxa" w:w="12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2.88.x</w:t>
            </w:r>
          </w:p>
        </w:tc>
        <w:tc>
          <w:tcPr>
            <w:tcW w:type="dxa" w:w="12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MIT</w:t>
            </w:r>
          </w:p>
        </w:tc>
        <w:tc>
          <w:tcPr>
            <w:tcW w:type="dxa" w:w="176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Loki.Skia (Mac)</w:t>
            </w:r>
          </w:p>
        </w:tc>
        <w:tc>
          <w:tcPr>
            <w:tcW w:type="dxa" w:w="24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Universal libSkiaSharp.dylib</w:t>
            </w:r>
          </w:p>
        </w:tc>
      </w:tr>
      <w:tr>
        <w:tc>
          <w:tcPr>
            <w:tcW w:type="dxa" w:w="28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SkiaSharp.NativeAssets.Linux</w:t>
            </w:r>
          </w:p>
        </w:tc>
        <w:tc>
          <w:tcPr>
            <w:tcW w:type="dxa" w:w="12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2.88.x</w:t>
            </w:r>
          </w:p>
        </w:tc>
        <w:tc>
          <w:tcPr>
            <w:tcW w:type="dxa" w:w="12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MIT</w:t>
            </w:r>
          </w:p>
        </w:tc>
        <w:tc>
          <w:tcPr>
            <w:tcW w:type="dxa" w:w="176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Loki.Skia (Linux)</w:t>
            </w:r>
          </w:p>
        </w:tc>
        <w:tc>
          <w:tcPr>
            <w:tcW w:type="dxa" w:w="24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Native libSkiaSharp.so</w:t>
            </w:r>
          </w:p>
        </w:tc>
      </w:tr>
      <w:tr>
        <w:tc>
          <w:tcPr>
            <w:tcW w:type="dxa" w:w="28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Microsoft.Extensions.DependencyInjection</w:t>
            </w:r>
          </w:p>
        </w:tc>
        <w:tc>
          <w:tcPr>
            <w:tcW w:type="dxa" w:w="12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9.x</w:t>
            </w:r>
          </w:p>
        </w:tc>
        <w:tc>
          <w:tcPr>
            <w:tcW w:type="dxa" w:w="12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MIT</w:t>
            </w:r>
          </w:p>
        </w:tc>
        <w:tc>
          <w:tcPr>
            <w:tcW w:type="dxa" w:w="176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All</w:t>
            </w:r>
          </w:p>
        </w:tc>
        <w:tc>
          <w:tcPr>
            <w:tcW w:type="dxa" w:w="24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DI container</w:t>
            </w:r>
          </w:p>
        </w:tc>
      </w:tr>
      <w:tr>
        <w:tc>
          <w:tcPr>
            <w:tcW w:type="dxa" w:w="28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Microsoft.Extensions.Logging.Abstractions</w:t>
            </w:r>
          </w:p>
        </w:tc>
        <w:tc>
          <w:tcPr>
            <w:tcW w:type="dxa" w:w="12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9.x</w:t>
            </w:r>
          </w:p>
        </w:tc>
        <w:tc>
          <w:tcPr>
            <w:tcW w:type="dxa" w:w="12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MIT</w:t>
            </w:r>
          </w:p>
        </w:tc>
        <w:tc>
          <w:tcPr>
            <w:tcW w:type="dxa" w:w="176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Loki.Kernel</w:t>
            </w:r>
          </w:p>
        </w:tc>
        <w:tc>
          <w:tcPr>
            <w:tcW w:type="dxa" w:w="24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Logging interfaces</w:t>
            </w:r>
          </w:p>
        </w:tc>
      </w:tr>
      <w:tr>
        <w:tc>
          <w:tcPr>
            <w:tcW w:type="dxa" w:w="28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Microsoft.Extensions.Hosting</w:t>
            </w:r>
          </w:p>
        </w:tc>
        <w:tc>
          <w:tcPr>
            <w:tcW w:type="dxa" w:w="12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9.x</w:t>
            </w:r>
          </w:p>
        </w:tc>
        <w:tc>
          <w:tcPr>
            <w:tcW w:type="dxa" w:w="12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MIT</w:t>
            </w:r>
          </w:p>
        </w:tc>
        <w:tc>
          <w:tcPr>
            <w:tcW w:type="dxa" w:w="176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lokiprint</w:t>
            </w:r>
          </w:p>
        </w:tc>
        <w:tc>
          <w:tcPr>
            <w:tcW w:type="dxa" w:w="24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Generic host for CLI</w:t>
            </w:r>
          </w:p>
        </w:tc>
      </w:tr>
      <w:tr>
        <w:tc>
          <w:tcPr>
            <w:tcW w:type="dxa" w:w="28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Avalonia</w:t>
            </w:r>
          </w:p>
        </w:tc>
        <w:tc>
          <w:tcPr>
            <w:tcW w:type="dxa" w:w="12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11.x</w:t>
            </w:r>
          </w:p>
        </w:tc>
        <w:tc>
          <w:tcPr>
            <w:tcW w:type="dxa" w:w="12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MIT</w:t>
            </w:r>
          </w:p>
        </w:tc>
        <w:tc>
          <w:tcPr>
            <w:tcW w:type="dxa" w:w="176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Loki.UI.*</w:t>
            </w:r>
          </w:p>
        </w:tc>
        <w:tc>
          <w:tcPr>
            <w:tcW w:type="dxa" w:w="24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Cross-platform UI (Phase 4+)</w:t>
            </w:r>
          </w:p>
        </w:tc>
      </w:tr>
      <w:tr>
        <w:tc>
          <w:tcPr>
            <w:tcW w:type="dxa" w:w="28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Avalonia.Desktop</w:t>
            </w:r>
          </w:p>
        </w:tc>
        <w:tc>
          <w:tcPr>
            <w:tcW w:type="dxa" w:w="12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11.x</w:t>
            </w:r>
          </w:p>
        </w:tc>
        <w:tc>
          <w:tcPr>
            <w:tcW w:type="dxa" w:w="12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MIT</w:t>
            </w:r>
          </w:p>
        </w:tc>
        <w:tc>
          <w:tcPr>
            <w:tcW w:type="dxa" w:w="176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Loki.UI.Desktop</w:t>
            </w:r>
          </w:p>
        </w:tc>
        <w:tc>
          <w:tcPr>
            <w:tcW w:type="dxa" w:w="24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Desktop platform (Phase 4+)</w:t>
            </w:r>
          </w:p>
        </w:tc>
      </w:tr>
      <w:tr>
        <w:tc>
          <w:tcPr>
            <w:tcW w:type="dxa" w:w="28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DocumentFormat.OpenXml</w:t>
            </w:r>
          </w:p>
        </w:tc>
        <w:tc>
          <w:tcPr>
            <w:tcW w:type="dxa" w:w="12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3.x</w:t>
            </w:r>
          </w:p>
        </w:tc>
        <w:tc>
          <w:tcPr>
            <w:tcW w:type="dxa" w:w="12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MIT</w:t>
            </w:r>
          </w:p>
        </w:tc>
        <w:tc>
          <w:tcPr>
            <w:tcW w:type="dxa" w:w="176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Loki.Format.OOXML</w:t>
            </w:r>
          </w:p>
        </w:tc>
        <w:tc>
          <w:tcPr>
            <w:tcW w:type="dxa" w:w="24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Open XML SDK (Phase 3+)</w:t>
            </w:r>
          </w:p>
        </w:tc>
      </w:tr>
      <w:tr>
        <w:tc>
          <w:tcPr>
            <w:tcW w:type="dxa" w:w="28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Markdig</w:t>
            </w:r>
          </w:p>
        </w:tc>
        <w:tc>
          <w:tcPr>
            <w:tcW w:type="dxa" w:w="12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0.37.x</w:t>
            </w:r>
          </w:p>
        </w:tc>
        <w:tc>
          <w:tcPr>
            <w:tcW w:type="dxa" w:w="12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BSD-2-Clause</w:t>
            </w:r>
          </w:p>
        </w:tc>
        <w:tc>
          <w:tcPr>
            <w:tcW w:type="dxa" w:w="176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Loki.Format.Markdown</w:t>
            </w:r>
          </w:p>
        </w:tc>
        <w:tc>
          <w:tcPr>
            <w:tcW w:type="dxa" w:w="24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CommonMark parser (Phase 3+)</w:t>
            </w:r>
          </w:p>
        </w:tc>
      </w:tr>
      <w:tr>
        <w:tc>
          <w:tcPr>
            <w:tcW w:type="dxa" w:w="28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CommunityToolkit.Mvvm</w:t>
            </w:r>
          </w:p>
        </w:tc>
        <w:tc>
          <w:tcPr>
            <w:tcW w:type="dxa" w:w="12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8.x</w:t>
            </w:r>
          </w:p>
        </w:tc>
        <w:tc>
          <w:tcPr>
            <w:tcW w:type="dxa" w:w="12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MIT</w:t>
            </w:r>
          </w:p>
        </w:tc>
        <w:tc>
          <w:tcPr>
            <w:tcW w:type="dxa" w:w="176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Loki.UI.Core</w:t>
            </w:r>
          </w:p>
        </w:tc>
        <w:tc>
          <w:tcPr>
            <w:tcW w:type="dxa" w:w="24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MVVM helpers (Phase 4+)</w:t>
            </w:r>
          </w:p>
        </w:tc>
      </w:tr>
    </w:tbl>
    <w:p>
      <w:pPr>
        <w:spacing w:after="110" w:before="0"/>
      </w:pPr>
      <w:r>
        <w:t xml:space="preserve"/>
      </w:r>
    </w:p>
    <w:p>
      <w:pPr>
        <w:pStyle w:val="Heading2"/>
        <w:spacing w:after="120" w:before="300"/>
      </w:pPr>
      <w:bookmarkStart w:name="nuget_dev" w:id="1"/>
      <w:r>
        <w:rPr>
          <w:rFonts w:ascii="Calibri" w:cs="Calibri" w:eastAsia="Calibri" w:hAnsi="Calibri"/>
          <w:b/>
          <w:bCs/>
          <w:color w:val="2563EB"/>
          <w:sz w:val="26"/>
          <w:szCs w:val="26"/>
        </w:rPr>
        <w:t xml:space="preserve">3.2 Development &amp; Test Dependencies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600"/>
        <w:gridCol w:w="3760"/>
      </w:tblGrid>
      <w:tr>
        <w:trPr>
          <w:tblHeader/>
        </w:trPr>
        <w:tc>
          <w:tcPr>
            <w:tcW w:type="dxa" w:w="2800"/>
            <w:tcBorders>
              <w:top w:val="single" w:color="1B2A4A" w:sz="1"/>
              <w:left w:val="single" w:color="1B2A4A" w:sz="1"/>
              <w:bottom w:val="single" w:color="1B2A4A" w:sz="1"/>
              <w:right w:val="single" w:color="1B2A4A" w:sz="1"/>
            </w:tcBorders>
            <w:shd w:fill="1B2A4A" w:val="clear"/>
            <w:tcMar>
              <w:top w:type="dxa" w:w="80"/>
              <w:left w:type="dxa" w:w="160"/>
              <w:bottom w:type="dxa" w:w="80"/>
              <w:right w:type="dxa" w:w="80"/>
            </w:tcMar>
          </w:tcPr>
          <w:p>
            <w:r>
              <w:rPr>
                <w:rFonts w:ascii="Calibri" w:cs="Calibri" w:eastAsia="Calibri" w:hAnsi="Calibri"/>
                <w:b/>
                <w:bCs/>
                <w:color w:val="FFFFFF"/>
                <w:sz w:val="20"/>
                <w:szCs w:val="20"/>
              </w:rPr>
              <w:t xml:space="preserve">Package</w:t>
            </w:r>
          </w:p>
        </w:tc>
        <w:tc>
          <w:tcPr>
            <w:tcW w:type="dxa" w:w="1200"/>
            <w:tcBorders>
              <w:top w:val="single" w:color="1B2A4A" w:sz="1"/>
              <w:left w:val="single" w:color="1B2A4A" w:sz="1"/>
              <w:bottom w:val="single" w:color="1B2A4A" w:sz="1"/>
              <w:right w:val="single" w:color="1B2A4A" w:sz="1"/>
            </w:tcBorders>
            <w:shd w:fill="1B2A4A" w:val="clear"/>
            <w:tcMar>
              <w:top w:type="dxa" w:w="80"/>
              <w:left w:type="dxa" w:w="160"/>
              <w:bottom w:type="dxa" w:w="80"/>
              <w:right w:type="dxa" w:w="80"/>
            </w:tcMar>
          </w:tcPr>
          <w:p>
            <w:r>
              <w:rPr>
                <w:rFonts w:ascii="Calibri" w:cs="Calibri" w:eastAsia="Calibri" w:hAnsi="Calibri"/>
                <w:b/>
                <w:bCs/>
                <w:color w:val="FFFFFF"/>
                <w:sz w:val="20"/>
                <w:szCs w:val="20"/>
              </w:rPr>
              <w:t xml:space="preserve">Version</w:t>
            </w:r>
          </w:p>
        </w:tc>
        <w:tc>
          <w:tcPr>
            <w:tcW w:type="dxa" w:w="1600"/>
            <w:tcBorders>
              <w:top w:val="single" w:color="1B2A4A" w:sz="1"/>
              <w:left w:val="single" w:color="1B2A4A" w:sz="1"/>
              <w:bottom w:val="single" w:color="1B2A4A" w:sz="1"/>
              <w:right w:val="single" w:color="1B2A4A" w:sz="1"/>
            </w:tcBorders>
            <w:shd w:fill="1B2A4A" w:val="clear"/>
            <w:tcMar>
              <w:top w:type="dxa" w:w="80"/>
              <w:left w:type="dxa" w:w="160"/>
              <w:bottom w:type="dxa" w:w="80"/>
              <w:right w:type="dxa" w:w="80"/>
            </w:tcMar>
          </w:tcPr>
          <w:p>
            <w:r>
              <w:rPr>
                <w:rFonts w:ascii="Calibri" w:cs="Calibri" w:eastAsia="Calibri" w:hAnsi="Calibri"/>
                <w:b/>
                <w:bCs/>
                <w:color w:val="FFFFFF"/>
                <w:sz w:val="20"/>
                <w:szCs w:val="20"/>
              </w:rPr>
              <w:t xml:space="preserve">Licence</w:t>
            </w:r>
          </w:p>
        </w:tc>
        <w:tc>
          <w:tcPr>
            <w:tcW w:type="dxa" w:w="3760"/>
            <w:tcBorders>
              <w:top w:val="single" w:color="1B2A4A" w:sz="1"/>
              <w:left w:val="single" w:color="1B2A4A" w:sz="1"/>
              <w:bottom w:val="single" w:color="1B2A4A" w:sz="1"/>
              <w:right w:val="single" w:color="1B2A4A" w:sz="1"/>
            </w:tcBorders>
            <w:shd w:fill="1B2A4A" w:val="clear"/>
            <w:tcMar>
              <w:top w:type="dxa" w:w="80"/>
              <w:left w:type="dxa" w:w="160"/>
              <w:bottom w:type="dxa" w:w="80"/>
              <w:right w:type="dxa" w:w="80"/>
            </w:tcMar>
          </w:tcPr>
          <w:p>
            <w:r>
              <w:rPr>
                <w:rFonts w:ascii="Calibri" w:cs="Calibri" w:eastAsia="Calibri" w:hAnsi="Calibri"/>
                <w:b/>
                <w:bCs/>
                <w:color w:val="FFFFFF"/>
                <w:sz w:val="20"/>
                <w:szCs w:val="20"/>
              </w:rPr>
              <w:t xml:space="preserve">Used In</w:t>
            </w:r>
          </w:p>
        </w:tc>
      </w:tr>
      <w:tr>
        <w:tc>
          <w:tcPr>
            <w:tcW w:type="dxa" w:w="28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xunit</w:t>
            </w:r>
          </w:p>
        </w:tc>
        <w:tc>
          <w:tcPr>
            <w:tcW w:type="dxa" w:w="12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2.9.x</w:t>
            </w:r>
          </w:p>
        </w:tc>
        <w:tc>
          <w:tcPr>
            <w:tcW w:type="dxa" w:w="16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Apache-2.0</w:t>
            </w:r>
          </w:p>
        </w:tc>
        <w:tc>
          <w:tcPr>
            <w:tcW w:type="dxa" w:w="376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tests/*</w:t>
            </w:r>
          </w:p>
        </w:tc>
      </w:tr>
      <w:tr>
        <w:tc>
          <w:tcPr>
            <w:tcW w:type="dxa" w:w="28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xunit.runner.visualstudio</w:t>
            </w:r>
          </w:p>
        </w:tc>
        <w:tc>
          <w:tcPr>
            <w:tcW w:type="dxa" w:w="12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2.8.x</w:t>
            </w:r>
          </w:p>
        </w:tc>
        <w:tc>
          <w:tcPr>
            <w:tcW w:type="dxa" w:w="16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Apache-2.0</w:t>
            </w:r>
          </w:p>
        </w:tc>
        <w:tc>
          <w:tcPr>
            <w:tcW w:type="dxa" w:w="376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tests/*</w:t>
            </w:r>
          </w:p>
        </w:tc>
      </w:tr>
      <w:tr>
        <w:tc>
          <w:tcPr>
            <w:tcW w:type="dxa" w:w="28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Microsoft.NET.Test.Sdk</w:t>
            </w:r>
          </w:p>
        </w:tc>
        <w:tc>
          <w:tcPr>
            <w:tcW w:type="dxa" w:w="12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17.x</w:t>
            </w:r>
          </w:p>
        </w:tc>
        <w:tc>
          <w:tcPr>
            <w:tcW w:type="dxa" w:w="16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MIT</w:t>
            </w:r>
          </w:p>
        </w:tc>
        <w:tc>
          <w:tcPr>
            <w:tcW w:type="dxa" w:w="376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tests/*</w:t>
            </w:r>
          </w:p>
        </w:tc>
      </w:tr>
      <w:tr>
        <w:tc>
          <w:tcPr>
            <w:tcW w:type="dxa" w:w="28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FluentAssertions</w:t>
            </w:r>
          </w:p>
        </w:tc>
        <w:tc>
          <w:tcPr>
            <w:tcW w:type="dxa" w:w="12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6.x</w:t>
            </w:r>
          </w:p>
        </w:tc>
        <w:tc>
          <w:tcPr>
            <w:tcW w:type="dxa" w:w="16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Apache-2.0</w:t>
            </w:r>
          </w:p>
        </w:tc>
        <w:tc>
          <w:tcPr>
            <w:tcW w:type="dxa" w:w="376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tests/* — assertion library</w:t>
            </w:r>
          </w:p>
        </w:tc>
      </w:tr>
      <w:tr>
        <w:tc>
          <w:tcPr>
            <w:tcW w:type="dxa" w:w="28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BenchmarkDotNet</w:t>
            </w:r>
          </w:p>
        </w:tc>
        <w:tc>
          <w:tcPr>
            <w:tcW w:type="dxa" w:w="12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0.14.x</w:t>
            </w:r>
          </w:p>
        </w:tc>
        <w:tc>
          <w:tcPr>
            <w:tcW w:type="dxa" w:w="16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MIT</w:t>
            </w:r>
          </w:p>
        </w:tc>
        <w:tc>
          <w:tcPr>
            <w:tcW w:type="dxa" w:w="376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tests/benchmarks</w:t>
            </w:r>
          </w:p>
        </w:tc>
      </w:tr>
      <w:tr>
        <w:tc>
          <w:tcPr>
            <w:tcW w:type="dxa" w:w="28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NSubstitute</w:t>
            </w:r>
          </w:p>
        </w:tc>
        <w:tc>
          <w:tcPr>
            <w:tcW w:type="dxa" w:w="12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5.x</w:t>
            </w:r>
          </w:p>
        </w:tc>
        <w:tc>
          <w:tcPr>
            <w:tcW w:type="dxa" w:w="16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BSD-3-Clause</w:t>
            </w:r>
          </w:p>
        </w:tc>
        <w:tc>
          <w:tcPr>
            <w:tcW w:type="dxa" w:w="376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tests/* — mocking</w:t>
            </w:r>
          </w:p>
        </w:tc>
      </w:tr>
    </w:tbl>
    <w:p>
      <w:pPr>
        <w:spacing w:after="110" w:before="0"/>
      </w:pPr>
      <w:r>
        <w:t xml:space="preserve"/>
      </w:r>
    </w:p>
    <w:p>
      <w:pPr>
        <w:pStyle w:val="Heading1"/>
        <w:spacing w:after="160" w:before="400"/>
      </w:pPr>
      <w:bookmarkStart w:name="native" w:id="1"/>
      <w:r>
        <w:rPr>
          <w:rFonts w:ascii="Calibri" w:cs="Calibri" w:eastAsia="Calibri" w:hAnsi="Calibri"/>
          <w:b/>
          <w:bCs/>
          <w:color w:val="1B2A4A"/>
          <w:sz w:val="34"/>
          <w:szCs w:val="34"/>
        </w:rPr>
        <w:t xml:space="preserve">4. Native Binaries (via SkiaSharp)</w:t>
      </w:r>
      <w:bookmarkEnd w:id="1"/>
    </w:p>
    <w:p>
      <w:pPr>
        <w:spacing w:after="100" w:before="60"/>
      </w:pPr>
      <w:r>
        <w:rPr>
          <w:rFonts w:ascii="Calibri" w:cs="Calibri" w:eastAsia="Calibri" w:hAnsi="Calibri"/>
          <w:color w:val="0F172A"/>
          <w:sz w:val="22"/>
          <w:szCs w:val="22"/>
        </w:rPr>
        <w:t xml:space="preserve">SkiaSharp's NativeAssets NuGet packages bundle the following compiled native libraries. These are not separate NuGet dependencies but are included here for completeness.</w:t>
      </w:r>
    </w:p>
    <w:p>
      <w:pPr>
        <w:spacing w:after="11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400"/>
        <w:gridCol w:w="3160"/>
      </w:tblGrid>
      <w:tr>
        <w:trPr>
          <w:tblHeader/>
        </w:trPr>
        <w:tc>
          <w:tcPr>
            <w:tcW w:type="dxa" w:w="2200"/>
            <w:tcBorders>
              <w:top w:val="single" w:color="1B2A4A" w:sz="1"/>
              <w:left w:val="single" w:color="1B2A4A" w:sz="1"/>
              <w:bottom w:val="single" w:color="1B2A4A" w:sz="1"/>
              <w:right w:val="single" w:color="1B2A4A" w:sz="1"/>
            </w:tcBorders>
            <w:shd w:fill="1B2A4A" w:val="clear"/>
            <w:tcMar>
              <w:top w:type="dxa" w:w="80"/>
              <w:left w:type="dxa" w:w="160"/>
              <w:bottom w:type="dxa" w:w="80"/>
              <w:right w:type="dxa" w:w="80"/>
            </w:tcMar>
          </w:tcPr>
          <w:p>
            <w:r>
              <w:rPr>
                <w:rFonts w:ascii="Calibri" w:cs="Calibri" w:eastAsia="Calibri" w:hAnsi="Calibri"/>
                <w:b/>
                <w:bCs/>
                <w:color w:val="FFFFFF"/>
                <w:sz w:val="20"/>
                <w:szCs w:val="20"/>
              </w:rPr>
              <w:t xml:space="preserve">Library</w:t>
            </w:r>
          </w:p>
        </w:tc>
        <w:tc>
          <w:tcPr>
            <w:tcW w:type="dxa" w:w="1600"/>
            <w:tcBorders>
              <w:top w:val="single" w:color="1B2A4A" w:sz="1"/>
              <w:left w:val="single" w:color="1B2A4A" w:sz="1"/>
              <w:bottom w:val="single" w:color="1B2A4A" w:sz="1"/>
              <w:right w:val="single" w:color="1B2A4A" w:sz="1"/>
            </w:tcBorders>
            <w:shd w:fill="1B2A4A" w:val="clear"/>
            <w:tcMar>
              <w:top w:type="dxa" w:w="80"/>
              <w:left w:type="dxa" w:w="160"/>
              <w:bottom w:type="dxa" w:w="80"/>
              <w:right w:type="dxa" w:w="80"/>
            </w:tcMar>
          </w:tcPr>
          <w:p>
            <w:r>
              <w:rPr>
                <w:rFonts w:ascii="Calibri" w:cs="Calibri" w:eastAsia="Calibri" w:hAnsi="Calibri"/>
                <w:b/>
                <w:bCs/>
                <w:color w:val="FFFFFF"/>
                <w:sz w:val="20"/>
                <w:szCs w:val="20"/>
              </w:rPr>
              <w:t xml:space="preserve">Version (approx.)</w:t>
            </w:r>
          </w:p>
        </w:tc>
        <w:tc>
          <w:tcPr>
            <w:tcW w:type="dxa" w:w="2400"/>
            <w:tcBorders>
              <w:top w:val="single" w:color="1B2A4A" w:sz="1"/>
              <w:left w:val="single" w:color="1B2A4A" w:sz="1"/>
              <w:bottom w:val="single" w:color="1B2A4A" w:sz="1"/>
              <w:right w:val="single" w:color="1B2A4A" w:sz="1"/>
            </w:tcBorders>
            <w:shd w:fill="1B2A4A" w:val="clear"/>
            <w:tcMar>
              <w:top w:type="dxa" w:w="80"/>
              <w:left w:type="dxa" w:w="160"/>
              <w:bottom w:type="dxa" w:w="80"/>
              <w:right w:type="dxa" w:w="80"/>
            </w:tcMar>
          </w:tcPr>
          <w:p>
            <w:r>
              <w:rPr>
                <w:rFonts w:ascii="Calibri" w:cs="Calibri" w:eastAsia="Calibri" w:hAnsi="Calibri"/>
                <w:b/>
                <w:bCs/>
                <w:color w:val="FFFFFF"/>
                <w:sz w:val="20"/>
                <w:szCs w:val="20"/>
              </w:rPr>
              <w:t xml:space="preserve">Licence</w:t>
            </w:r>
          </w:p>
        </w:tc>
        <w:tc>
          <w:tcPr>
            <w:tcW w:type="dxa" w:w="3160"/>
            <w:tcBorders>
              <w:top w:val="single" w:color="1B2A4A" w:sz="1"/>
              <w:left w:val="single" w:color="1B2A4A" w:sz="1"/>
              <w:bottom w:val="single" w:color="1B2A4A" w:sz="1"/>
              <w:right w:val="single" w:color="1B2A4A" w:sz="1"/>
            </w:tcBorders>
            <w:shd w:fill="1B2A4A" w:val="clear"/>
            <w:tcMar>
              <w:top w:type="dxa" w:w="80"/>
              <w:left w:type="dxa" w:w="160"/>
              <w:bottom w:type="dxa" w:w="80"/>
              <w:right w:type="dxa" w:w="80"/>
            </w:tcMar>
          </w:tcPr>
          <w:p>
            <w:r>
              <w:rPr>
                <w:rFonts w:ascii="Calibri" w:cs="Calibri" w:eastAsia="Calibri" w:hAnsi="Calibri"/>
                <w:b/>
                <w:bCs/>
                <w:color w:val="FFFFFF"/>
                <w:sz w:val="20"/>
                <w:szCs w:val="20"/>
              </w:rPr>
              <w:t xml:space="preserve">Notes</w:t>
            </w:r>
          </w:p>
        </w:tc>
      </w:tr>
      <w:tr>
        <w:tc>
          <w:tcPr>
            <w:tcW w:type="dxa" w:w="22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Google Skia</w:t>
            </w:r>
          </w:p>
        </w:tc>
        <w:tc>
          <w:tcPr>
            <w:tcW w:type="dxa" w:w="16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m116 (via SkiaSharp 2.88)</w:t>
            </w:r>
          </w:p>
        </w:tc>
        <w:tc>
          <w:tcPr>
            <w:tcW w:type="dxa" w:w="24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BSD-3-Clause</w:t>
            </w:r>
          </w:p>
        </w:tc>
        <w:tc>
          <w:tcPr>
            <w:tcW w:type="dxa" w:w="316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2D graphics; https://skia.org</w:t>
            </w:r>
          </w:p>
        </w:tc>
      </w:tr>
      <w:tr>
        <w:tc>
          <w:tcPr>
            <w:tcW w:type="dxa" w:w="22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HarfBuzz</w:t>
            </w:r>
          </w:p>
        </w:tc>
        <w:tc>
          <w:tcPr>
            <w:tcW w:type="dxa" w:w="16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8.x</w:t>
            </w:r>
          </w:p>
        </w:tc>
        <w:tc>
          <w:tcPr>
            <w:tcW w:type="dxa" w:w="24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MIT</w:t>
            </w:r>
          </w:p>
        </w:tc>
        <w:tc>
          <w:tcPr>
            <w:tcW w:type="dxa" w:w="316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OpenType text shaping; https://harfbuzz.github.io</w:t>
            </w:r>
          </w:p>
        </w:tc>
      </w:tr>
      <w:tr>
        <w:tc>
          <w:tcPr>
            <w:tcW w:type="dxa" w:w="22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FreeType</w:t>
            </w:r>
          </w:p>
        </w:tc>
        <w:tc>
          <w:tcPr>
            <w:tcW w:type="dxa" w:w="16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2.13.x</w:t>
            </w:r>
          </w:p>
        </w:tc>
        <w:tc>
          <w:tcPr>
            <w:tcW w:type="dxa" w:w="24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FreeType Licence (BSD-style) or GPLv2</w:t>
            </w:r>
          </w:p>
        </w:tc>
        <w:tc>
          <w:tcPr>
            <w:tcW w:type="dxa" w:w="316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Font loading; FreeType Licence is permissive</w:t>
            </w:r>
          </w:p>
        </w:tc>
      </w:tr>
      <w:tr>
        <w:tc>
          <w:tcPr>
            <w:tcW w:type="dxa" w:w="22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libpng</w:t>
            </w:r>
          </w:p>
        </w:tc>
        <w:tc>
          <w:tcPr>
            <w:tcW w:type="dxa" w:w="16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1.6.x</w:t>
            </w:r>
          </w:p>
        </w:tc>
        <w:tc>
          <w:tcPr>
            <w:tcW w:type="dxa" w:w="24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libpng Licence (MIT-like)</w:t>
            </w:r>
          </w:p>
        </w:tc>
        <w:tc>
          <w:tcPr>
            <w:tcW w:type="dxa" w:w="316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PNG encode/decode</w:t>
            </w:r>
          </w:p>
        </w:tc>
      </w:tr>
      <w:tr>
        <w:tc>
          <w:tcPr>
            <w:tcW w:type="dxa" w:w="22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libjpeg-turbo</w:t>
            </w:r>
          </w:p>
        </w:tc>
        <w:tc>
          <w:tcPr>
            <w:tcW w:type="dxa" w:w="16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3.x</w:t>
            </w:r>
          </w:p>
        </w:tc>
        <w:tc>
          <w:tcPr>
            <w:tcW w:type="dxa" w:w="24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BSD-3-Clause + IJG Licence</w:t>
            </w:r>
          </w:p>
        </w:tc>
        <w:tc>
          <w:tcPr>
            <w:tcW w:type="dxa" w:w="316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JPEG encode/decode</w:t>
            </w:r>
          </w:p>
        </w:tc>
      </w:tr>
      <w:tr>
        <w:tc>
          <w:tcPr>
            <w:tcW w:type="dxa" w:w="22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libwebp</w:t>
            </w:r>
          </w:p>
        </w:tc>
        <w:tc>
          <w:tcPr>
            <w:tcW w:type="dxa" w:w="16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1.3.x</w:t>
            </w:r>
          </w:p>
        </w:tc>
        <w:tc>
          <w:tcPr>
            <w:tcW w:type="dxa" w:w="24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BSD-3-Clause</w:t>
            </w:r>
          </w:p>
        </w:tc>
        <w:tc>
          <w:tcPr>
            <w:tcW w:type="dxa" w:w="316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WebP encode/decode</w:t>
            </w:r>
          </w:p>
        </w:tc>
      </w:tr>
      <w:tr>
        <w:tc>
          <w:tcPr>
            <w:tcW w:type="dxa" w:w="22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ICU</w:t>
            </w:r>
          </w:p>
        </w:tc>
        <w:tc>
          <w:tcPr>
            <w:tcW w:type="dxa" w:w="16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73.x</w:t>
            </w:r>
          </w:p>
        </w:tc>
        <w:tc>
          <w:tcPr>
            <w:tcW w:type="dxa" w:w="24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ICU Licence (MIT-like)</w:t>
            </w:r>
          </w:p>
        </w:tc>
        <w:tc>
          <w:tcPr>
            <w:tcW w:type="dxa" w:w="316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Unicode, BiDi, collation — bundled with .NET</w:t>
            </w:r>
          </w:p>
        </w:tc>
      </w:tr>
      <w:tr>
        <w:tc>
          <w:tcPr>
            <w:tcW w:type="dxa" w:w="22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zlib</w:t>
            </w:r>
          </w:p>
        </w:tc>
        <w:tc>
          <w:tcPr>
            <w:tcW w:type="dxa" w:w="16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1.3.x</w:t>
            </w:r>
          </w:p>
        </w:tc>
        <w:tc>
          <w:tcPr>
            <w:tcW w:type="dxa" w:w="240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zlib Licence (MIT-like)</w:t>
            </w:r>
          </w:p>
        </w:tc>
        <w:tc>
          <w:tcPr>
            <w:tcW w:type="dxa" w:w="3160"/>
            <w:tcBorders>
              <w:top w:val="single" w:color="E2E8F0" w:sz="1"/>
              <w:left w:val="single" w:color="E2E8F0" w:sz="1"/>
              <w:bottom w:val="single" w:color="E2E8F0" w:sz="1"/>
              <w:right w:val="single" w:color="E2E8F0" w:sz="1"/>
            </w:tcBorders>
            <w:shd w:fill="FFFFFF"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Compression</w:t>
            </w:r>
          </w:p>
        </w:tc>
      </w:tr>
      <w:tr>
        <w:tc>
          <w:tcPr>
            <w:tcW w:type="dxa" w:w="22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expat</w:t>
            </w:r>
          </w:p>
        </w:tc>
        <w:tc>
          <w:tcPr>
            <w:tcW w:type="dxa" w:w="16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2.6.x</w:t>
            </w:r>
          </w:p>
        </w:tc>
        <w:tc>
          <w:tcPr>
            <w:tcW w:type="dxa" w:w="240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MIT</w:t>
            </w:r>
          </w:p>
        </w:tc>
        <w:tc>
          <w:tcPr>
            <w:tcW w:type="dxa" w:w="3160"/>
            <w:tcBorders>
              <w:top w:val="single" w:color="E2E8F0" w:sz="1"/>
              <w:left w:val="single" w:color="E2E8F0" w:sz="1"/>
              <w:bottom w:val="single" w:color="E2E8F0" w:sz="1"/>
              <w:right w:val="single" w:color="E2E8F0" w:sz="1"/>
            </w:tcBorders>
            <w:shd w:fill="F1F5F9" w:val="clear"/>
            <w:tcMar>
              <w:top w:type="dxa" w:w="70"/>
              <w:left w:type="dxa" w:w="160"/>
              <w:bottom w:type="dxa" w:w="70"/>
              <w:right w:type="dxa" w:w="80"/>
            </w:tcMar>
          </w:tcPr>
          <w:p>
            <w:r>
              <w:rPr>
                <w:rFonts w:ascii="Calibri" w:cs="Calibri" w:eastAsia="Calibri" w:hAnsi="Calibri"/>
                <w:b w:val="false"/>
                <w:bCs w:val="false"/>
                <w:color w:val="0F172A"/>
                <w:sz w:val="19"/>
                <w:szCs w:val="19"/>
              </w:rPr>
              <w:t xml:space="preserve">XML parser (used internally by Skia/FreeType)</w:t>
            </w:r>
          </w:p>
        </w:tc>
      </w:tr>
    </w:tbl>
    <w:p>
      <w:pPr>
        <w:spacing w:after="11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6"/>
              <w:bottom w:val="single" w:color="2563EB" w:sz="1"/>
              <w:right w:val="single" w:color="2563EB" w:sz="1"/>
            </w:tcBorders>
            <w:shd w:fill="EFF6FF" w:val="clear"/>
            <w:tcMar>
              <w:top w:type="dxa" w:w="120"/>
              <w:left w:type="dxa" w:w="240"/>
              <w:bottom w:type="dxa" w:w="120"/>
              <w:right w:type="dxa" w:w="240"/>
            </w:tcMar>
          </w:tcPr>
          <w:p>
            <w:pPr>
              <w:spacing w:after="60"/>
            </w:pPr>
            <w:r>
              <w:rPr>
                <w:rFonts w:ascii="Calibri" w:cs="Calibri" w:eastAsia="Calibri" w:hAnsi="Calibri"/>
                <w:b/>
                <w:bCs/>
                <w:color w:val="2563EB"/>
                <w:sz w:val="21"/>
                <w:szCs w:val="21"/>
              </w:rPr>
              <w:t xml:space="preserve">FreeType Licence Note</w:t>
            </w:r>
          </w:p>
          <w:p>
            <w:pPr>
              <w:spacing w:after="36" w:before="0"/>
            </w:pPr>
            <w:r>
              <w:rPr>
                <w:rFonts w:ascii="Calibri" w:cs="Calibri" w:eastAsia="Calibri" w:hAnsi="Calibri"/>
                <w:color w:val="0F172A"/>
                <w:sz w:val="21"/>
                <w:szCs w:val="21"/>
              </w:rPr>
              <w:t xml:space="preserve">FreeType offers a dual licence: the FreeType Licence (a BSD-style permissive licence)</w:t>
            </w:r>
          </w:p>
          <w:p>
            <w:pPr>
              <w:spacing w:after="36" w:before="0"/>
            </w:pPr>
            <w:r>
              <w:rPr>
                <w:rFonts w:ascii="Calibri" w:cs="Calibri" w:eastAsia="Calibri" w:hAnsi="Calibri"/>
                <w:color w:val="0F172A"/>
                <w:sz w:val="21"/>
                <w:szCs w:val="21"/>
              </w:rPr>
              <w:t xml:space="preserve">or GPLv2. SkiaSharp builds FreeType under the FreeType Licence exclusively.</w:t>
            </w:r>
          </w:p>
          <w:p>
            <w:pPr>
              <w:spacing w:after="36" w:before="0"/>
            </w:pPr>
            <w:r>
              <w:rPr>
                <w:rFonts w:ascii="Calibri" w:cs="Calibri" w:eastAsia="Calibri" w:hAnsi="Calibri"/>
                <w:color w:val="0F172A"/>
                <w:sz w:val="21"/>
                <w:szCs w:val="21"/>
              </w:rPr>
              <w:t xml:space="preserve">The FreeType Licence is permissive and compatible with MIT/Apache-2.0 distribution.</w:t>
            </w:r>
          </w:p>
          <w:p>
            <w:pPr>
              <w:spacing w:after="36" w:before="0"/>
            </w:pPr>
            <w:r>
              <w:rPr>
                <w:rFonts w:ascii="Calibri" w:cs="Calibri" w:eastAsia="Calibri" w:hAnsi="Calibri"/>
                <w:color w:val="0F172A"/>
                <w:sz w:val="21"/>
                <w:szCs w:val="21"/>
              </w:rPr>
              <w:t xml:space="preserve">Source: https://freetype.org/license.html</w:t>
            </w:r>
          </w:p>
        </w:tc>
      </w:tr>
    </w:tbl>
    <w:p>
      <w:pPr>
        <w:spacing w:after="110" w:before="0"/>
      </w:pPr>
      <w:r>
        <w:t xml:space="preserve"/>
      </w:r>
    </w:p>
    <w:p>
      <w:pPr>
        <w:pStyle w:val="Heading1"/>
        <w:spacing w:after="160" w:before="400"/>
      </w:pPr>
      <w:bookmarkStart w:name="ack" w:id="1"/>
      <w:r>
        <w:rPr>
          <w:rFonts w:ascii="Calibri" w:cs="Calibri" w:eastAsia="Calibri" w:hAnsi="Calibri"/>
          <w:b/>
          <w:bCs/>
          <w:color w:val="1B2A4A"/>
          <w:sz w:val="34"/>
          <w:szCs w:val="34"/>
        </w:rPr>
        <w:t xml:space="preserve">5. Acknowledgements</w:t>
      </w:r>
      <w:bookmarkEnd w:id="1"/>
    </w:p>
    <w:p>
      <w:pPr>
        <w:spacing w:after="100" w:before="60"/>
      </w:pPr>
      <w:r>
        <w:rPr>
          <w:rFonts w:ascii="Calibri" w:cs="Calibri" w:eastAsia="Calibri" w:hAnsi="Calibri"/>
          <w:color w:val="0F172A"/>
          <w:sz w:val="22"/>
          <w:szCs w:val="22"/>
        </w:rPr>
        <w:t xml:space="preserve">AppThere Loki is built on the work of many open source projects and their contributors. We are grateful to the maintainers and contributors of: Google Skia, HarfBuzz, FreeType, SkiaSharp, Avalonia UI, .NET, Google Fonts, the Noto font project, Inter, Newsreader, Atkinson Hyperlegible, Lexend, Public Sans, Cormorant, Bodoni Moda, JetBrains Mono, Markdig, xUnit, BenchmarkDotNet, FluentAssertions, NSubstitute, and the Open Font Licence.</w:t>
      </w:r>
    </w:p>
    <w:p>
      <w:pPr>
        <w:spacing w:after="110" w:before="0"/>
      </w:pPr>
      <w:r>
        <w:t xml:space="preserve"/>
      </w:r>
    </w:p>
    <w:p>
      <w:pPr>
        <w:pStyle w:val="Heading1"/>
        <w:spacing w:after="160" w:before="400"/>
      </w:pPr>
      <w:bookmarkStart w:name="updating" w:id="1"/>
      <w:r>
        <w:rPr>
          <w:rFonts w:ascii="Calibri" w:cs="Calibri" w:eastAsia="Calibri" w:hAnsi="Calibri"/>
          <w:b/>
          <w:bCs/>
          <w:color w:val="1B2A4A"/>
          <w:sz w:val="34"/>
          <w:szCs w:val="34"/>
        </w:rPr>
        <w:t xml:space="preserve">6. Updating This Document</w:t>
      </w:r>
      <w:bookmarkEnd w:id="1"/>
    </w:p>
    <w:p>
      <w:pPr>
        <w:pStyle w:val="ListParagraph"/>
        <w:numPr>
          <w:ilvl w:val="0"/>
          <w:numId w:val="2"/>
        </w:numPr>
        <w:spacing w:after="40" w:before="40"/>
      </w:pPr>
      <w:r>
        <w:rPr>
          <w:rFonts w:ascii="Calibri" w:cs="Calibri" w:eastAsia="Calibri" w:hAnsi="Calibri"/>
          <w:color w:val="0F172A"/>
          <w:sz w:val="22"/>
          <w:szCs w:val="22"/>
        </w:rPr>
        <w:t xml:space="preserve">Update this document in the same PR that adds, removes, or upgrades a dependency.</w:t>
      </w:r>
    </w:p>
    <w:p>
      <w:pPr>
        <w:pStyle w:val="ListParagraph"/>
        <w:numPr>
          <w:ilvl w:val="0"/>
          <w:numId w:val="2"/>
        </w:numPr>
        <w:spacing w:after="40" w:before="40"/>
      </w:pPr>
      <w:r>
        <w:rPr>
          <w:rFonts w:ascii="Calibri" w:cs="Calibri" w:eastAsia="Calibri" w:hAnsi="Calibri"/>
          <w:color w:val="0F172A"/>
          <w:sz w:val="22"/>
          <w:szCs w:val="22"/>
        </w:rPr>
        <w:t xml:space="preserve">For NuGet packages: run dotnet list package --include-transitive to verify no new transitive dependencies have been introduced with an incompatible licence.</w:t>
      </w:r>
    </w:p>
    <w:p>
      <w:pPr>
        <w:pStyle w:val="ListParagraph"/>
        <w:numPr>
          <w:ilvl w:val="0"/>
          <w:numId w:val="2"/>
        </w:numPr>
        <w:spacing w:after="40" w:before="40"/>
      </w:pPr>
      <w:r>
        <w:rPr>
          <w:rFonts w:ascii="Calibri" w:cs="Calibri" w:eastAsia="Calibri" w:hAnsi="Calibri"/>
          <w:color w:val="0F172A"/>
          <w:sz w:val="22"/>
          <w:szCs w:val="22"/>
        </w:rPr>
        <w:t xml:space="preserve">For new fonts: verify OFL-1.1 licence at fonts.google.com before adding.</w:t>
      </w:r>
    </w:p>
    <w:p>
      <w:pPr>
        <w:pStyle w:val="ListParagraph"/>
        <w:numPr>
          <w:ilvl w:val="0"/>
          <w:numId w:val="2"/>
        </w:numPr>
        <w:spacing w:after="40" w:before="40"/>
      </w:pPr>
      <w:r>
        <w:rPr>
          <w:rFonts w:ascii="Calibri" w:cs="Calibri" w:eastAsia="Calibri" w:hAnsi="Calibri"/>
          <w:color w:val="0F172A"/>
          <w:sz w:val="22"/>
          <w:szCs w:val="22"/>
        </w:rPr>
        <w:t xml:space="preserve">For native libraries: check the SkiaSharp release notes when upgrading — the native binary versions may change.</w:t>
      </w:r>
    </w:p>
    <w:p>
      <w:pPr>
        <w:pStyle w:val="ListParagraph"/>
        <w:numPr>
          <w:ilvl w:val="0"/>
          <w:numId w:val="2"/>
        </w:numPr>
        <w:spacing w:after="40" w:before="40"/>
      </w:pPr>
      <w:r>
        <w:rPr>
          <w:rFonts w:ascii="Calibri" w:cs="Calibri" w:eastAsia="Calibri" w:hAnsi="Calibri"/>
          <w:color w:val="0F172A"/>
          <w:sz w:val="22"/>
          <w:szCs w:val="22"/>
        </w:rPr>
        <w:t xml:space="preserve">A CI script verifies that every package in the .csproj files appears in this document. The build fails if a package is missing from the inventory.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1"/>
      </w:pBdr>
      <w:spacing w:before="120"/>
      <w:jc w:val="right"/>
    </w:pPr>
    <w:r>
      <w:rPr>
        <w:rFonts w:ascii="Calibri" w:cs="Calibri" w:eastAsia="Calibri" w:hAnsi="Calibri"/>
        <w:color w:val="94A3B8"/>
        <w:sz w:val="18"/>
        <w:szCs w:val="18"/>
      </w:rPr>
      <w:t xml:space="preserve">Page </w:t>
    </w:r>
    <w:r>
      <w:rPr>
        <w:rFonts w:ascii="Calibri" w:cs="Calibri" w:eastAsia="Calibri" w:hAnsi="Calibri"/>
        <w:color w:val="94A3B8"/>
        <w:sz w:val="18"/>
        <w:szCs w:val="18"/>
      </w:rPr>
      <w:fldChar w:fldCharType="begin"/>
      <w:instrText xml:space="preserve">PAGE</w:instrText>
      <w:fldChar w:fldCharType="separate"/>
      <w:fldChar w:fldCharType="end"/>
    </w:r>
    <w:r>
      <w:rPr>
        <w:rFonts w:ascii="Calibri" w:cs="Calibri" w:eastAsia="Calibri" w:hAnsi="Calibri"/>
        <w:color w:val="94A3B8"/>
        <w:sz w:val="18"/>
        <w:szCs w:val="18"/>
      </w:rPr>
      <w:t xml:space="preserve"> of </w:t>
    </w:r>
    <w:r>
      <w:rPr>
        <w:rFonts w:ascii="Calibri" w:cs="Calibri" w:eastAsia="Calibri" w:hAnsi="Calibri"/>
        <w:color w:val="94A3B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1"/>
      </w:pBdr>
      <w:spacing w:after="120"/>
    </w:pPr>
    <w:r>
      <w:rPr>
        <w:rFonts w:ascii="Calibri" w:cs="Calibri" w:eastAsia="Calibri" w:hAnsi="Calibri"/>
        <w:color w:val="94A3B8"/>
        <w:sz w:val="18"/>
        <w:szCs w:val="18"/>
      </w:rPr>
      <w:t xml:space="preserve">AppThere Loki  ·  Third-Party Licences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Calibri" w:cs="Calibri" w:eastAsia="Calibri" w:hAnsi="Calibri"/>
      <w:b/>
      <w:bCs/>
      <w:color w:val="1B2A4A"/>
      <w:sz w:val="34"/>
      <w:szCs w:val="34"/>
    </w:rPr>
  </w:style>
  <w:style w:type="paragraph" w:styleId="Heading2">
    <w:name w:val="Heading 2"/>
    <w:basedOn w:val="Normal"/>
    <w:next w:val="Normal"/>
    <w:qFormat/>
    <w:pPr>
      <w:spacing w:after="120" w:before="300"/>
      <w:outlineLvl w:val="1"/>
    </w:pPr>
    <w:rPr>
      <w:rFonts w:ascii="Calibri" w:cs="Calibri" w:eastAsia="Calibri" w:hAnsi="Calibri"/>
      <w:b/>
      <w:bCs/>
      <w:color w:val="2563EB"/>
      <w:sz w:val="26"/>
      <w:szCs w:val="26"/>
    </w:rPr>
  </w:style>
  <w:style w:type="paragraph" w:styleId="Heading3">
    <w:name w:val="Heading 3"/>
    <w:basedOn w:val="Normal"/>
    <w:next w:val="Normal"/>
    <w:qFormat/>
    <w:pPr>
      <w:spacing w:after="80" w:before="220"/>
      <w:outlineLvl w:val="2"/>
    </w:pPr>
    <w:rPr>
      <w:rFonts w:ascii="Calibri" w:cs="Calibri" w:eastAsia="Calibri" w:hAnsi="Calibri"/>
      <w:b/>
      <w:bCs/>
      <w:color w:val="0D9488"/>
      <w:sz w:val="23"/>
      <w:szCs w:val="23"/>
    </w:rPr>
  </w:style>
  <w:style w:type="paragraph" w:styleId="Heading4">
    <w:name w:val="Heading 4"/>
    <w:basedOn w:val="Normal"/>
    <w:next w:val="Normal"/>
    <w:qFormat/>
    <w:pPr>
      <w:spacing w:after="60" w:before="160"/>
      <w:outlineLvl w:val="3"/>
    </w:pPr>
    <w:rPr>
      <w:rFonts w:ascii="Calibri" w:cs="Calibri" w:eastAsia="Calibri" w:hAnsi="Calibri"/>
      <w:b/>
      <w:bCs/>
      <w:color w:val="3341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AppThere Loki — Third-Party Licences</dc:title>
  <dc:creator>AppThere</dc:creator>
  <cp:lastModifiedBy>Un-named</cp:lastModifiedBy>
  <cp:revision>1</cp:revision>
  <dcterms:created xsi:type="dcterms:W3CDTF">2026-03-05T06:17:58.992Z</dcterms:created>
  <dcterms:modified xsi:type="dcterms:W3CDTF">2026-03-05T06:17:58.992Z</dcterms:modified>
</cp:coreProperties>
</file>

<file path=docProps/custom.xml><?xml version="1.0" encoding="utf-8"?>
<Properties xmlns="http://schemas.openxmlformats.org/officeDocument/2006/custom-properties" xmlns:vt="http://schemas.openxmlformats.org/officeDocument/2006/docPropsVTypes"/>
</file>