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ADR-012: Caret and Selection Model</w:t>
      </w:r>
    </w:p>
    <w:p>
      <w:r>
        <w:t xml:space="preserve"/>
      </w:r>
    </w:p>
    <w:p>
      <w:r>
        <w:rPr>
          <w:b/>
          <w:bCs/>
        </w:rPr>
        <w:t xml:space="preserve">Status: </w:t>
      </w:r>
      <w:r>
        <w:t xml:space="preserve">Accepted</w:t>
      </w:r>
    </w:p>
    <w:p>
      <w:r>
        <w:rPr>
          <w:b/>
          <w:bCs/>
        </w:rPr>
        <w:t xml:space="preserve">Date: </w:t>
      </w:r>
      <w:r>
        <w:t xml:space="preserve">2026-03-09</w:t>
      </w:r>
    </w:p>
    <w:p>
      <w:r>
        <w:rPr>
          <w:b/>
          <w:bCs/>
        </w:rPr>
        <w:t xml:space="preserve">Phase: </w:t>
      </w:r>
      <w:r>
        <w:t xml:space="preserve">5 — Editing</w:t>
      </w:r>
    </w:p>
    <w:p>
      <w:r>
        <w:rPr>
          <w:b/>
          <w:bCs/>
        </w:rPr>
        <w:t xml:space="preserve">Supersedes: </w:t>
      </w:r>
      <w:r>
        <w:t xml:space="preserve">None</w:t>
      </w:r>
    </w:p>
    <w:p>
      <w:r>
        <w:t xml:space="preserve"/>
      </w:r>
    </w:p>
    <w:p>
      <w:pPr>
        <w:pStyle w:val="Heading2"/>
      </w:pPr>
      <w:r>
        <w:t xml:space="preserve">Context</w:t>
      </w:r>
    </w:p>
    <w:p>
      <w:r>
        <w:t xml:space="preserve">Phase 5 introduces interactive editing. The caret (insertion point) and selection (anchor–focus range) must be tracked persistently so that: (1) edit commands know where to apply, (2) the renderer knows where to draw the caret and selection highlight, and (3) future multiplayer participants have independent carets that are visible to other users.</w:t>
      </w:r>
    </w:p>
    <w:p>
      <w:r>
        <w:t xml:space="preserve"/>
      </w:r>
    </w:p>
    <w:p>
      <w:r>
        <w:t xml:space="preserve">The fundamental architectural question is whether caret state lives in the view layer (ILokiView) or the engine layer (ILokiEngine). Placing it in the view means each view has its own independent caret — correct for single-user multi-view scenarios but incompatible with multiplayer, where other participants' carets must be visible regardless of which view is open. Placing it in the engine with a session registry supports both single-user and multiplayer from the start.</w:t>
      </w:r>
    </w:p>
    <w:p>
      <w:r>
        <w:t xml:space="preserve"/>
      </w:r>
    </w:p>
    <w:p>
      <w:pPr>
        <w:pStyle w:val="Heading2"/>
      </w:pPr>
      <w:r>
        <w:t xml:space="preserve">Decision</w:t>
      </w:r>
    </w:p>
    <w:p>
      <w:r>
        <w:t xml:space="preserve">The engine owns a CaretRegistry keyed by SessionId (Guid). Each connected participant — local or remote — has one entry. ILokiView renders all carets whose positions fall within the visible viewport, distinguishing local from remote via SessionId comparison.</w:t>
      </w:r>
    </w:p>
    <w:p>
      <w:r>
        <w:t xml:space="preserve"/>
      </w:r>
    </w:p>
    <w:p>
      <w:r>
        <w:t xml:space="preserve">The local SessionId is supplied via LokiHostBuilder configuration, defaulting to Guid.NewGuid() if not set. The multiplayer layer (Phase 7+) overrides this with a server-assigned ID.</w:t>
      </w:r>
    </w:p>
    <w:p>
      <w:r>
        <w:t xml:space="preserve"/>
      </w:r>
    </w:p>
    <w:p>
      <w:pPr>
        <w:pStyle w:val="Heading2"/>
      </w:pPr>
      <w:r>
        <w:t xml:space="preserve">Types</w:t>
      </w:r>
    </w:p>
    <w:p>
      <w:pPr>
        <w:pStyle w:val="Heading3"/>
      </w:pPr>
      <w:r>
        <w:t xml:space="preserve">SessionId</w:t>
      </w:r>
    </w:p>
    <w:p>
      <w:r>
        <w:rPr>
          <w:rFonts w:ascii="Courier New" w:cs="Courier New" w:eastAsia="Courier New" w:hAnsi="Courier New"/>
          <w:sz w:val="20"/>
          <w:szCs w:val="20"/>
        </w:rPr>
        <w:t xml:space="preserve">public readonly record struct SessionId(Guid Value)</w:t>
      </w:r>
    </w:p>
    <w:p>
      <w:r>
        <w:t xml:space="preserve"/>
      </w:r>
    </w:p>
    <w:p>
      <w:r>
        <w:t xml:space="preserve">Wraps a Guid for type safety. Constructed at host startup. Stored in LokiHostOptions (new record on LokiHostBuilder).</w:t>
      </w:r>
    </w:p>
    <w:p>
      <w:r>
        <w:t xml:space="preserve"/>
      </w:r>
    </w:p>
    <w:p>
      <w:pPr>
        <w:pStyle w:val="Heading3"/>
      </w:pPr>
      <w:r>
        <w:t xml:space="preserve">CaretPosition</w:t>
      </w:r>
    </w:p>
    <w:p>
      <w:r>
        <w:rPr>
          <w:rFonts w:ascii="Courier New" w:cs="Courier New" w:eastAsia="Courier New" w:hAnsi="Courier New"/>
          <w:sz w:val="20"/>
          <w:szCs w:val="20"/>
        </w:rPr>
        <w:t xml:space="preserve">public sealed record CaretPosition(</w:t>
      </w:r>
    </w:p>
    <w:p>
      <w:r>
        <w:rPr>
          <w:rFonts w:ascii="Courier New" w:cs="Courier New" w:eastAsia="Courier New" w:hAnsi="Courier New"/>
          <w:sz w:val="20"/>
          <w:szCs w:val="20"/>
        </w:rPr>
        <w:t xml:space="preserve">    int   ParagraphIndex,</w:t>
      </w:r>
    </w:p>
    <w:p>
      <w:r>
        <w:rPr>
          <w:rFonts w:ascii="Courier New" w:cs="Courier New" w:eastAsia="Courier New" w:hAnsi="Courier New"/>
          <w:sz w:val="20"/>
          <w:szCs w:val="20"/>
        </w:rPr>
        <w:t xml:space="preserve">    int   RunIndex,</w:t>
      </w:r>
    </w:p>
    <w:p>
      <w:r>
        <w:rPr>
          <w:rFonts w:ascii="Courier New" w:cs="Courier New" w:eastAsia="Courier New" w:hAnsi="Courier New"/>
          <w:sz w:val="20"/>
          <w:szCs w:val="20"/>
        </w:rPr>
        <w:t xml:space="preserve">    int   CharOffset,</w:t>
      </w:r>
    </w:p>
    <w:p>
      <w:r>
        <w:rPr>
          <w:rFonts w:ascii="Courier New" w:cs="Courier New" w:eastAsia="Courier New" w:hAnsi="Courier New"/>
          <w:sz w:val="20"/>
          <w:szCs w:val="20"/>
        </w:rPr>
        <w:t xml:space="preserve">    bool  IsAtLineEnd);</w:t>
      </w:r>
    </w:p>
    <w:p>
      <w:r>
        <w:t xml:space="preserve"/>
      </w:r>
    </w:p>
    <w:p>
      <w:r>
        <w:t xml:space="preserve">ParagraphIndex and RunIndex index into LokiDocument.Body and ParagraphNode.Inlines respectively. CharOffset is a UTF-16 code unit offset within RunNode.Text. IsAtLineEnd disambiguates visual caret position at a soft line wrap — the same logical position can appear at the end of line N or the start of line N+1.</w:t>
      </w:r>
    </w:p>
    <w:p>
      <w:r>
        <w:t xml:space="preserve"/>
      </w:r>
    </w:p>
    <w:p>
      <w:pPr>
        <w:pStyle w:val="Heading3"/>
      </w:pPr>
      <w:r>
        <w:t xml:space="preserve">Selection</w:t>
      </w:r>
    </w:p>
    <w:p>
      <w:r>
        <w:rPr>
          <w:rFonts w:ascii="Courier New" w:cs="Courier New" w:eastAsia="Courier New" w:hAnsi="Courier New"/>
          <w:sz w:val="20"/>
          <w:szCs w:val="20"/>
        </w:rPr>
        <w:t xml:space="preserve">public sealed record Selection(</w:t>
      </w:r>
    </w:p>
    <w:p>
      <w:r>
        <w:rPr>
          <w:rFonts w:ascii="Courier New" w:cs="Courier New" w:eastAsia="Courier New" w:hAnsi="Courier New"/>
          <w:sz w:val="20"/>
          <w:szCs w:val="20"/>
        </w:rPr>
        <w:t xml:space="preserve">    CaretPosition Anchor,</w:t>
      </w:r>
    </w:p>
    <w:p>
      <w:r>
        <w:rPr>
          <w:rFonts w:ascii="Courier New" w:cs="Courier New" w:eastAsia="Courier New" w:hAnsi="Courier New"/>
          <w:sz w:val="20"/>
          <w:szCs w:val="20"/>
        </w:rPr>
        <w:t xml:space="preserve">    CaretPosition Focus);</w:t>
      </w:r>
    </w:p>
    <w:p>
      <w:r>
        <w:t xml:space="preserve"/>
      </w:r>
    </w:p>
    <w:p>
      <w:r>
        <w:t xml:space="preserve">Anchor is where the selection started (mouse down / shift-start). Focus is the active end (mouse drag / shift-arrow). When Anchor == Focus the selection is collapsed (caret only). Selection direction: Focus &lt; Anchor means backwards selection — both are valid.</w:t>
      </w:r>
    </w:p>
    <w:p>
      <w:r>
        <w:t xml:space="preserve"/>
      </w:r>
    </w:p>
    <w:p>
      <w:pPr>
        <w:pStyle w:val="Heading3"/>
      </w:pPr>
      <w:r>
        <w:t xml:space="preserve">CaretEntry</w:t>
      </w:r>
    </w:p>
    <w:p>
      <w:r>
        <w:rPr>
          <w:rFonts w:ascii="Courier New" w:cs="Courier New" w:eastAsia="Courier New" w:hAnsi="Courier New"/>
          <w:sz w:val="20"/>
          <w:szCs w:val="20"/>
        </w:rPr>
        <w:t xml:space="preserve">public sealed record CaretEntry(</w:t>
      </w:r>
    </w:p>
    <w:p>
      <w:r>
        <w:rPr>
          <w:rFonts w:ascii="Courier New" w:cs="Courier New" w:eastAsia="Courier New" w:hAnsi="Courier New"/>
          <w:sz w:val="20"/>
          <w:szCs w:val="20"/>
        </w:rPr>
        <w:t xml:space="preserve">    SessionId  SessionId,</w:t>
      </w:r>
    </w:p>
    <w:p>
      <w:r>
        <w:rPr>
          <w:rFonts w:ascii="Courier New" w:cs="Courier New" w:eastAsia="Courier New" w:hAnsi="Courier New"/>
          <w:sz w:val="20"/>
          <w:szCs w:val="20"/>
        </w:rPr>
        <w:t xml:space="preserve">    Selection  Selection,</w:t>
      </w:r>
    </w:p>
    <w:p>
      <w:r>
        <w:rPr>
          <w:rFonts w:ascii="Courier New" w:cs="Courier New" w:eastAsia="Courier New" w:hAnsi="Courier New"/>
          <w:sz w:val="20"/>
          <w:szCs w:val="20"/>
        </w:rPr>
        <w:t xml:space="preserve">    DateTime   LastActivity,</w:t>
      </w:r>
    </w:p>
    <w:p>
      <w:r>
        <w:rPr>
          <w:rFonts w:ascii="Courier New" w:cs="Courier New" w:eastAsia="Courier New" w:hAnsi="Courier New"/>
          <w:sz w:val="20"/>
          <w:szCs w:val="20"/>
        </w:rPr>
        <w:t xml:space="preserve">    string?    DisplayName,</w:t>
      </w:r>
    </w:p>
    <w:p>
      <w:r>
        <w:rPr>
          <w:rFonts w:ascii="Courier New" w:cs="Courier New" w:eastAsia="Courier New" w:hAnsi="Courier New"/>
          <w:sz w:val="20"/>
          <w:szCs w:val="20"/>
        </w:rPr>
        <w:t xml:space="preserve">    LokiColor  Color);</w:t>
      </w:r>
    </w:p>
    <w:p>
      <w:r>
        <w:t xml:space="preserve"/>
      </w:r>
    </w:p>
    <w:p>
      <w:pPr>
        <w:pStyle w:val="Heading3"/>
      </w:pPr>
      <w:r>
        <w:t xml:space="preserve">CaretRegistry</w:t>
      </w:r>
    </w:p>
    <w:p>
      <w:r>
        <w:t xml:space="preserve">Internal sealed class owned by WriterEngine. Stores Dictionary&lt;SessionId, CaretEntry&gt;. Thread-safe via lock. Exposes:</w:t>
      </w:r>
    </w:p>
    <w:p>
      <w:pPr>
        <w:pStyle w:val="ListParagraph"/>
        <w:numPr>
          <w:ilvl w:val="0"/>
          <w:numId w:val="2"/>
        </w:numPr>
      </w:pPr>
      <w:r>
        <w:t xml:space="preserve">Set(SessionId, Selection) — upsert. Fires CaretChanged event.</w:t>
      </w:r>
    </w:p>
    <w:p>
      <w:pPr>
        <w:pStyle w:val="ListParagraph"/>
        <w:numPr>
          <w:ilvl w:val="0"/>
          <w:numId w:val="2"/>
        </w:numPr>
      </w:pPr>
      <w:r>
        <w:t xml:space="preserve">Get(SessionId) → CaretEntry? — returns null if session not registered.</w:t>
      </w:r>
    </w:p>
    <w:p>
      <w:pPr>
        <w:pStyle w:val="ListParagraph"/>
        <w:numPr>
          <w:ilvl w:val="0"/>
          <w:numId w:val="2"/>
        </w:numPr>
      </w:pPr>
      <w:r>
        <w:t xml:space="preserve">GetAll() → IReadOnlyList&lt;CaretEntry&gt; — snapshot for renderer.</w:t>
      </w:r>
    </w:p>
    <w:p>
      <w:pPr>
        <w:pStyle w:val="ListParagraph"/>
        <w:numPr>
          <w:ilvl w:val="0"/>
          <w:numId w:val="2"/>
        </w:numPr>
      </w:pPr>
      <w:r>
        <w:t xml:space="preserve">Remove(SessionId) — called on participant disconnect.</w:t>
      </w:r>
    </w:p>
    <w:p>
      <w:pPr>
        <w:pStyle w:val="ListParagraph"/>
        <w:numPr>
          <w:ilvl w:val="0"/>
          <w:numId w:val="2"/>
        </w:numPr>
      </w:pPr>
      <w:r>
        <w:t xml:space="preserve">event EventHandler&lt;SessionId&gt; CaretChanged — fired after Set/Remove.</w:t>
      </w:r>
    </w:p>
    <w:p>
      <w:r>
        <w:t xml:space="preserve"/>
      </w:r>
    </w:p>
    <w:p>
      <w:pPr>
        <w:pStyle w:val="Heading2"/>
      </w:pPr>
      <w:r>
        <w:t xml:space="preserve">ILokiEngine additions</w:t>
      </w:r>
    </w:p>
    <w:p>
      <w:r>
        <w:t xml:space="preserve">Two new members on ILokiEngine (non-breaking — default implementations return false / throw NotSupported in StubEngine):</w:t>
      </w:r>
    </w:p>
    <w:p>
      <w:pPr>
        <w:pStyle w:val="ListParagraph"/>
        <w:numPr>
          <w:ilvl w:val="0"/>
          <w:numId w:val="2"/>
        </w:numPr>
      </w:pPr>
      <w:r>
        <w:t xml:space="preserve">void SetCaret(SessionId sessionId, Selection selection) — delegates to CaretRegistry.Set.</w:t>
      </w:r>
    </w:p>
    <w:p>
      <w:pPr>
        <w:pStyle w:val="ListParagraph"/>
        <w:numPr>
          <w:ilvl w:val="0"/>
          <w:numId w:val="2"/>
        </w:numPr>
      </w:pPr>
      <w:r>
        <w:t xml:space="preserve">IReadOnlyList&lt;CaretEntry&gt; GetCarets() — delegates to CaretRegistry.GetAll.</w:t>
      </w:r>
    </w:p>
    <w:p>
      <w:r>
        <w:t xml:space="preserve"/>
      </w:r>
    </w:p>
    <w:p>
      <w:pPr>
        <w:pStyle w:val="Heading2"/>
      </w:pPr>
      <w:r>
        <w:t xml:space="preserve">ILokiView rendering</w:t>
      </w:r>
    </w:p>
    <w:p>
      <w:r>
        <w:t xml:space="preserve">ILokiView.RenderTileAsync receives the CaretRegistry snapshot alongside the PaintScene. The tile renderer draws:</w:t>
      </w:r>
    </w:p>
    <w:p>
      <w:pPr>
        <w:pStyle w:val="ListParagraph"/>
        <w:numPr>
          <w:ilvl w:val="0"/>
          <w:numId w:val="2"/>
        </w:numPr>
      </w:pPr>
      <w:r>
        <w:t xml:space="preserve">Local caret (SessionId matches host SessionId): blinking 1px vertical bar in the theme accent colour.</w:t>
      </w:r>
    </w:p>
    <w:p>
      <w:pPr>
        <w:pStyle w:val="ListParagraph"/>
        <w:numPr>
          <w:ilvl w:val="0"/>
          <w:numId w:val="2"/>
        </w:numPr>
      </w:pPr>
      <w:r>
        <w:t xml:space="preserve">Remote carets: 2px vertical bar in CaretEntry.Color with a small name label above. Phase 5: colour assigned from a fixed palette by insertion order. Phase 7: server-assigned.</w:t>
      </w:r>
    </w:p>
    <w:p>
      <w:pPr>
        <w:pStyle w:val="ListParagraph"/>
        <w:numPr>
          <w:ilvl w:val="0"/>
          <w:numId w:val="2"/>
        </w:numPr>
      </w:pPr>
      <w:r>
        <w:t xml:space="preserve">Selection highlight: semi-transparent rectangle over the selected glyph run range.</w:t>
      </w:r>
    </w:p>
    <w:p>
      <w:r>
        <w:t xml:space="preserve"/>
      </w:r>
    </w:p>
    <w:p>
      <w:r>
        <w:t xml:space="preserve">TileInvalidated fires when any caret in the registry moves into or out of the tile's bounds — not just on document content changes. This ensures remote caret movement updates the display without a full document re-layout.</w:t>
      </w:r>
    </w:p>
    <w:p>
      <w:r>
        <w:t xml:space="preserve"/>
      </w:r>
    </w:p>
    <w:p>
      <w:pPr>
        <w:pStyle w:val="Heading2"/>
      </w:pPr>
      <w:r>
        <w:t xml:space="preserve">LokiHostBuilder — SessionId configuration</w:t>
      </w:r>
    </w:p>
    <w:p>
      <w:r>
        <w:t xml:space="preserve">New LokiHostOptions record:</w:t>
      </w:r>
    </w:p>
    <w:p>
      <w:r>
        <w:rPr>
          <w:rFonts w:ascii="Courier New" w:cs="Courier New" w:eastAsia="Courier New" w:hAnsi="Courier New"/>
          <w:sz w:val="20"/>
          <w:szCs w:val="20"/>
        </w:rPr>
        <w:t xml:space="preserve">public sealed record LokiHostOptions(</w:t>
      </w:r>
    </w:p>
    <w:p>
      <w:r>
        <w:rPr>
          <w:rFonts w:ascii="Courier New" w:cs="Courier New" w:eastAsia="Courier New" w:hAnsi="Courier New"/>
          <w:sz w:val="20"/>
          <w:szCs w:val="20"/>
        </w:rPr>
        <w:t xml:space="preserve">    SessionId LocalSessionId)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public static LokiHostOptions Default =&gt;</w:t>
      </w:r>
    </w:p>
    <w:p>
      <w:r>
        <w:rPr>
          <w:rFonts w:ascii="Courier New" w:cs="Courier New" w:eastAsia="Courier New" w:hAnsi="Courier New"/>
          <w:sz w:val="20"/>
          <w:szCs w:val="20"/>
        </w:rPr>
        <w:t xml:space="preserve">        new(new SessionId(Guid.NewGuid()));</w:t>
      </w:r>
    </w:p>
    <w:p>
      <w:r>
        <w:rPr>
          <w:rFonts w:ascii="Courier New" w:cs="Courier New" w:eastAsia="Courier New" w:hAnsi="Courier New"/>
          <w:sz w:val="20"/>
          <w:szCs w:val="20"/>
        </w:rPr>
        <w:t xml:space="preserve">}</w:t>
      </w:r>
    </w:p>
    <w:p>
      <w:r>
        <w:t xml:space="preserve"/>
      </w:r>
    </w:p>
    <w:p>
      <w:r>
        <w:t xml:space="preserve">LokiHostBuilder gains:</w:t>
      </w:r>
    </w:p>
    <w:p>
      <w:r>
        <w:rPr>
          <w:rFonts w:ascii="Courier New" w:cs="Courier New" w:eastAsia="Courier New" w:hAnsi="Courier New"/>
          <w:sz w:val="20"/>
          <w:szCs w:val="20"/>
        </w:rPr>
        <w:t xml:space="preserve">public LokiHostBuilder WithOptions(LokiHostOptions options)</w:t>
      </w:r>
    </w:p>
    <w:p>
      <w:r>
        <w:t xml:space="preserve"/>
      </w:r>
    </w:p>
    <w:p>
      <w:r>
        <w:t xml:space="preserve">If not called, LokiHostOptions.Default is used (random Guid per app launch). The multiplayer layer calls WithOptions with a server-assigned SessionId.</w:t>
      </w:r>
    </w:p>
    <w:p>
      <w:r>
        <w:t xml:space="preserve"/>
      </w:r>
    </w:p>
    <w:p>
      <w:pPr>
        <w:pStyle w:val="Heading2"/>
      </w:pPr>
      <w:r>
        <w:t xml:space="preserve">Consequences</w:t>
      </w:r>
    </w:p>
    <w:p>
      <w:pPr>
        <w:pStyle w:val="Heading3"/>
      </w:pPr>
      <w:r>
        <w:t xml:space="preserve">Positive</w:t>
      </w:r>
    </w:p>
    <w:p>
      <w:pPr>
        <w:pStyle w:val="ListParagraph"/>
        <w:numPr>
          <w:ilvl w:val="0"/>
          <w:numId w:val="2"/>
        </w:numPr>
      </w:pPr>
      <w:r>
        <w:t xml:space="preserve">Multiplayer-ready from Phase 5: adding a second participant requires only registering a new CaretEntry — no architectural changes.</w:t>
      </w:r>
    </w:p>
    <w:p>
      <w:pPr>
        <w:pStyle w:val="ListParagraph"/>
        <w:numPr>
          <w:ilvl w:val="0"/>
          <w:numId w:val="2"/>
        </w:numPr>
      </w:pPr>
      <w:r>
        <w:t xml:space="preserve">Independent carets per session: two views of the same document (e.g. split view) can have separate carets by using different SessionIds.</w:t>
      </w:r>
    </w:p>
    <w:p>
      <w:pPr>
        <w:pStyle w:val="ListParagraph"/>
        <w:numPr>
          <w:ilvl w:val="0"/>
          <w:numId w:val="2"/>
        </w:numPr>
      </w:pPr>
      <w:r>
        <w:t xml:space="preserve">CaretChanged event enables efficient tile invalidation — only affected tiles re-render on caret movement.</w:t>
      </w:r>
    </w:p>
    <w:p>
      <w:r>
        <w:t xml:space="preserve"/>
      </w:r>
    </w:p>
    <w:p>
      <w:pPr>
        <w:pStyle w:val="Heading3"/>
      </w:pPr>
      <w:r>
        <w:t xml:space="preserve">Negative</w:t>
      </w:r>
    </w:p>
    <w:p>
      <w:pPr>
        <w:pStyle w:val="ListParagraph"/>
        <w:numPr>
          <w:ilvl w:val="0"/>
          <w:numId w:val="2"/>
        </w:numPr>
      </w:pPr>
      <w:r>
        <w:t xml:space="preserve">Engine is now stateful in a new dimension (caret state) in addition to document state. CaretRegistry must be disposed and cleared on document close.</w:t>
      </w:r>
    </w:p>
    <w:p>
      <w:pPr>
        <w:pStyle w:val="ListParagraph"/>
        <w:numPr>
          <w:ilvl w:val="0"/>
          <w:numId w:val="2"/>
        </w:numPr>
      </w:pPr>
      <w:r>
        <w:t xml:space="preserve">RenderTileAsync signature gains a caret snapshot parameter — a breaking change to the interface. All ILokiEngine implementations (StubEngine, WriterEngine) must be updated.</w:t>
      </w:r>
    </w:p>
    <w:p>
      <w:r>
        <w:t xml:space="preserve"/>
      </w:r>
    </w:p>
    <w:p>
      <w:pPr>
        <w:pStyle w:val="Heading3"/>
      </w:pPr>
      <w:r>
        <w:t xml:space="preserve">Neutral</w:t>
      </w:r>
    </w:p>
    <w:p>
      <w:pPr>
        <w:pStyle w:val="ListParagraph"/>
        <w:numPr>
          <w:ilvl w:val="0"/>
          <w:numId w:val="2"/>
        </w:numPr>
      </w:pPr>
      <w:r>
        <w:t xml:space="preserve">Phase 5 implements local caret only. Remote caret rendering code is written but never exercised until Phase 7 wires up the multiplayer transport.</w:t>
      </w:r>
    </w:p>
    <w:p>
      <w:pPr>
        <w:pStyle w:val="ListParagraph"/>
        <w:numPr>
          <w:ilvl w:val="0"/>
          <w:numId w:val="2"/>
        </w:numPr>
      </w:pPr>
      <w:r>
        <w:t xml:space="preserve">Caret blinking is a UI concern — LokiTileControl drives a DispatcherTimer that calls InvalidateVisual at 530ms intervals (standard blink rate) when the local caret is visible.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E9E"/>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7609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2026-03-09T05:58:45.055Z</dcterms:created>
  <dcterms:modified xsi:type="dcterms:W3CDTF">2026-03-09T05:58:45.055Z</dcterms:modified>
</cp:coreProperties>
</file>

<file path=docProps/custom.xml><?xml version="1.0" encoding="utf-8"?>
<Properties xmlns="http://schemas.openxmlformats.org/officeDocument/2006/custom-properties" xmlns:vt="http://schemas.openxmlformats.org/officeDocument/2006/docPropsVTypes"/>
</file>