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  <w:jc w:val="center"/>
      </w:pPr>
      <w:r>
        <w:rPr>
          <w:rFonts w:ascii="Calibri" w:cs="Calibri" w:eastAsia="Calibri" w:hAnsi="Calibri"/>
          <w:b/>
          <w:bCs/>
          <w:color w:val="1B2A4A"/>
          <w:sz w:val="60"/>
          <w:szCs w:val="60"/>
        </w:rPr>
        <w:t xml:space="preserve">AppThere Loki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2563EB"/>
          <w:sz w:val="38"/>
          <w:szCs w:val="38"/>
        </w:rPr>
        <w:t xml:space="preserve">Contributing Guide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94A3B8"/>
          <w:sz w:val="24"/>
          <w:szCs w:val="24"/>
        </w:rPr>
        <w:t xml:space="preserve">For community contributors and the solo maintainer alike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DCO · RFC · Branching · Commits · Review · CI</w:t>
      </w:r>
    </w:p>
    <w:p>
      <w:r>
        <w:br w:type="page"/>
      </w:r>
    </w:p>
    <w:p>
      <w:pPr>
        <w:pStyle w:val="Heading1"/>
        <w:spacing w:after="160" w:before="400"/>
      </w:pPr>
      <w:bookmarkStart w:name="toc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Table of Contents</w:t>
      </w:r>
      <w:bookmarkEnd w:id="1"/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bookmarkStart w:name="before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1. Before You Contribute</w:t>
      </w:r>
      <w:bookmarkEnd w:id="1"/>
    </w:p>
    <w:p>
      <w:pPr>
        <w:pStyle w:val="Heading2"/>
        <w:spacing w:after="120" w:before="300"/>
      </w:pPr>
      <w:bookmarkStart w:name="dco_signoff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1.1 Sign Off with DCO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All contributions must carry a DCO Signed-off-by line in every commit. This certifies that you have the right to submit the contribution under the Apache 2.0 licence. No paperwork, no bot, no legal review — just add -s to your git commit.</w:t>
      </w:r>
    </w:p>
    <w:p>
      <w:pPr>
        <w:spacing w:after="11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If contributing as part of your employment, ensure your employer permits open source contributions under Apache 2.0 before signing off. See docs/DCO.docx for the full employment IP guidance.</w:t>
      </w:r>
    </w:p>
    <w:p>
      <w:pPr>
        <w:spacing w:after="11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full DCO text and how-to is in docs/DCO.docx. The most important rule: do not submit any code, fonts, or assets licensed under GPL, LGPL, AGPL, or any other copyleft licence. This is a hard rule. See §8 for details.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read_arch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1.2 Read the Architecture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AppThere Loki has a carefully designed layered architecture. Contributing effectively requires understanding it. Read these documents in order before writing any code:</w:t>
      </w:r>
    </w:p>
    <w:p>
      <w:pPr>
        <w:spacing w:after="11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docs/Architecture.docx — the overall system design and the LokiKit hourglass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docs/LLM_Design_Guide.docx — file conventions, naming rules, the 300-line ceiling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docs/adr/ — the Architecture Decision Records for the subsystem you're working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Phase plan for the current phase (docs/Phase1_Plan.docx etc.)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check_existing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1.3 Check for Existing Work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Before starting significant work, check whether: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An existing issue or RFC covers the same topic.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change requires an RFC (see GOVERNANCE.md §3.1).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change conflicts with an accepted ADR.</w:t>
      </w:r>
    </w:p>
    <w:p>
      <w:pPr>
        <w:spacing w:after="11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For large changes, open a GitHub Discussion before writing code. A brief description of what you want to do and why will save everyone time.</w:t>
      </w:r>
    </w:p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looking_for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2. What We're Looking For</w:t>
      </w:r>
      <w:bookmarkEnd w:id="1"/>
    </w:p>
    <w:p>
      <w:pPr>
        <w:pStyle w:val="Heading2"/>
        <w:spacing w:after="120" w:before="300"/>
      </w:pPr>
      <w:bookmarkStart w:name="high_value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2.1 High-Value Contributions</w:t>
      </w:r>
      <w:bookmarkEnd w:id="1"/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Bug fixes with regression tests.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Performance improvements with benchmark evidence (see docs/PERFORMANCE_BASELINE.docx).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New golden rendering tests that increase coverage.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Documentation improvements and corrections.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Accessibility improvements (WCAG 2.2 AA compliance, Phase 8+).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Internationalisation: new language support, RTL improvements, new Noto font coverage.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New bundled font families that are variable, OFL-1.1 licensed, and fill a genuine gap.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needs_rfc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2.2 What Requires an RFC First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See GOVERNANCE.md §3.1 for the full list. In summary: new public interfaces, new format support, new export formats, new runtime dependencies, and licence policy changes all require an RFC before implementation begins.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wont_accept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2.3 What We Will Not Accept</w:t>
      </w:r>
      <w:bookmarkEnd w:id="1"/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Code licensed under GPL, LGPL, AGPL, or any copyleft licence — hard rule, no exceptions.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Dependencies not on the permitted licence list without prior RFC approval.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Changes that violate the accepted ADRs without a superseding RFC.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Files over 300 lines (decompose first, then submit).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Files missing the standard file header (LAYER, KIND, PURPOSE — see LLM Design Guide §2.1).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Partial classes (use composition instead).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Constructor parameters that are concrete classes rather than interfaces.</w:t>
      </w:r>
    </w:p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setup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3. Setting Up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See docs/DEVELOPER_SETUP.docx for the full platform-specific setup guide. The short version: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clone https://github.com/appthere/loki.git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cd loki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dotnet restore &amp;&amp; dotnet build &amp;&amp; dotnet test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changes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4. Making Changes</w:t>
      </w:r>
      <w:bookmarkEnd w:id="1"/>
    </w:p>
    <w:p>
      <w:pPr>
        <w:pStyle w:val="Heading2"/>
        <w:spacing w:after="120" w:before="300"/>
      </w:pPr>
      <w:bookmarkStart w:name="branch_naming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4.1 Branch Naming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Branch type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feat/short-description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feat/skia-variable-font-axes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Bug fix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fix/short-description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fix/tile-yoffset-at-fractional-zoom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docs/short-description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docs/adr-005-lokikit-commands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RFC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rfc/NNN-short-title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rfc/012-epub-export-format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perf/short-description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perf/tile-renderer-hot-path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commits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4.2 Commit Messages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Follow the Conventional Commits specification. See CONTRIBUTING_SOLO.docx §3 for the full type list and scope vocabulary. The key rule: every commit message must be meaningful to someone reading git log in two years.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Good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feat(skia): implement variable font axis mapping via SkiaSharp fvar API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fix(rendering): correct tile clip bounds at DpiScale &gt; 2.0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test(fonts): add golden test for Bodoni Moda opsz axis at 72pt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Not acceptable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fix stuff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WIP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update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various changes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file_standards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4.3 File Standards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Every new .cs file must: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Open with the standard file header (LAYER, KIND, PURPOSE, DEPENDS, USED BY, PHASE, ADR).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Contain exactly one primary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Not exceed 300 lines of non-blank, non-comment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Have a corresponding test file in the mirror location under tests/.</w:t>
      </w:r>
    </w:p>
    <w:p>
      <w:pPr>
        <w:spacing w:after="11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These are enforced by CI. A PR that fails the file header check or line count check will not be reviewed until the failures are fixed.</w:t>
      </w:r>
    </w:p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pr_process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5. Pull Request Process</w:t>
      </w:r>
      <w:bookmarkEnd w:id="1"/>
    </w:p>
    <w:p>
      <w:pPr>
        <w:pStyle w:val="Heading2"/>
        <w:spacing w:after="120" w:before="300"/>
      </w:pPr>
      <w:bookmarkStart w:name="pr_checklist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5.1 PR Checklist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DCO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Every commit in the PR has a Signed-off-by line (DCO App verifies)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new files have standard file headers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 file exceeds 300 lines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constructor parameters are interfaces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ImmutableArray&lt;T&gt; used for immutable collections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Architecture tests pass (no layer violations)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Tests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new types have corresponding test files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Tests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Tests follow Method_Condition_ExpectedResult naming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Tests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New rendering behaviour has a golden test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Licence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No prohibited-licence code introduced (grep for GPL/LGPL headers)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CHANGELOG.md updated under [Unreleased]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Docs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Relevant ADR referenced in new file headers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CI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CI jobs green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review_time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5.2 Review Turnaround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maintainer targets a first review response within 7 days for community PRs. If you haven't received a response in 7 days, leave a comment to bump the PR. Complex PRs may take longer; the maintainer will communicate expected timelines.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review_feedback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5.3 Addressing Review Feedback</w:t>
      </w:r>
      <w:bookmarkEnd w:id="1"/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Address all review comments before requesting re-review.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If you disagree with feedback, explain why in a comment — don't just make the change silently or ignore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Mark individual comment threads as 'Resolved' once addressed.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If a review asks for architectural changes that would require an RFC, say so — the PR may be closed pending an RFC rather than requiring a rewrite.</w:t>
      </w:r>
    </w:p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issues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6. Reporting Issues</w:t>
      </w:r>
      <w:bookmarkEnd w:id="1"/>
    </w:p>
    <w:p>
      <w:pPr>
        <w:pStyle w:val="Heading2"/>
        <w:spacing w:after="120" w:before="300"/>
      </w:pPr>
      <w:bookmarkStart w:name="bugs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6.1 Bug Reports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Use the GitHub Issues 'Bug report' template. Include: OS and .NET version, steps to reproduce, expected vs actual behaviour, and if possible a minimal test document. For rendering bugs, include a screenshot and the raw PaintScene JSON if you can extract it.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features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6.2 Feature Requests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Use the GitHub Discussions 'Ideas' category for feature requests. If the request is significant enough to require an RFC (see GOVERNANCE.md §3.1), open an RFC discussion instead.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security_issues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6.3 Security Vulnerabilities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Do not open a public issue for security vulnerabilities. Follow the process in SECURITY.md.</w:t>
      </w:r>
    </w:p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llm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7. LLM-Assisted Contributions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Contributions may be developed with AI assistance. This is explicitly permitted. The same standards apply regardless of how the code was produced.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AI-Assisted Code Policy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Code produced with AI assistance is fully acceptable provided: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1. You have reviewed it against the PR checklist before submitting.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2. You understand what the code does and can explain it in review.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3. The code passes all CI checks including architecture and line count.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4. You take full responsibility for the contribution as the PR author.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AI-assisted code is not held to a lower standard than human-written code.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If a reviewer discovers that AI-generated code contains a licence violation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(e.g. copyleft code from a training corpus), the contributor is responsible.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Use the LLM Design Guide session protocol to minimise this risk.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gnu_rule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8. The GNU Licence Hard Rule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1"/>
              <w:left w:val="single" w:color="991B1B" w:sz="16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Hard Rule — No GNU Licences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This rule has no exceptions and no appeal process.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Do not introduce any code, font, asset, data file, or other material licensed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under GPL, LGPL, AGPL, or any other GNU or copyleft licence.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This includes: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Direct use (copying GPL code into a source file)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Indirect use (adding a NuGet package whose runtime dependency is LGPL)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  • Transitive use (a dependency of a dependency that is GPL)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Why: AppThere Loki is distributed through the Apple App Store and Google Play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Store. Both platforms' distribution terms are incompatible with the GPL and LGPL.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A single LGPL file anywhere in the build makes App Store distribution illegal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for every user who builds from source. The rule protects every contributor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and user, not just AppThere.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Before adding any new dependency, verify its licence AND the licences of all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its transitive dependencies using: dotnet list package --include-transitive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Check the result against the permitted list in THIRD_PARTY_LICENSES.docx.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When in doubt, open a GitHub Discussion before adding the dependency.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spacing w:before="120"/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of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spacing w:after="120"/>
    </w:pPr>
    <w:r>
      <w:rPr>
        <w:rFonts w:ascii="Calibri" w:cs="Calibri" w:eastAsia="Calibri" w:hAnsi="Calibri"/>
        <w:color w:val="94A3B8"/>
        <w:sz w:val="18"/>
        <w:szCs w:val="18"/>
      </w:rPr>
      <w:t xml:space="preserve">AppThere Loki  ·  Contributing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Calibri" w:hAnsi="Calibri"/>
      <w:b/>
      <w:bCs/>
      <w:color w:val="0D9488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AppThere Loki — Contributing Guide (Community Edition)</dc:title>
  <dc:creator>AppThere</dc:creator>
  <cp:lastModifiedBy>Un-named</cp:lastModifiedBy>
  <cp:revision>1</cp:revision>
  <dcterms:created xsi:type="dcterms:W3CDTF">2026-03-05T06:35:23.888Z</dcterms:created>
  <dcterms:modified xsi:type="dcterms:W3CDTF">2026-03-05T06:35:23.888Z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