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800"/>
        <w:jc w:val="center"/>
      </w:pPr>
      <w:r>
        <w:rPr>
          <w:rFonts w:ascii="Calibri" w:cs="Calibri" w:eastAsia="Calibri" w:hAnsi="Calibri"/>
          <w:b/>
          <w:bCs/>
          <w:color w:val="1B2A4A"/>
          <w:sz w:val="60"/>
          <w:szCs w:val="60"/>
        </w:rPr>
        <w:t xml:space="preserve">AppThere Loki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color w:val="2563EB"/>
          <w:sz w:val="38"/>
          <w:szCs w:val="38"/>
        </w:rPr>
        <w:t xml:space="preserve">Performance Baseline</w:t>
      </w:r>
    </w:p>
    <w:p>
      <w:pPr>
        <w:spacing w:after="400" w:before="0"/>
        <w:jc w:val="center"/>
      </w:pPr>
      <w:r>
        <w:rPr>
          <w:rFonts w:ascii="Calibri" w:cs="Calibri" w:eastAsia="Calibri" w:hAnsi="Calibri"/>
          <w:i/>
          <w:iCs/>
          <w:color w:val="94A3B8"/>
          <w:sz w:val="24"/>
          <w:szCs w:val="24"/>
        </w:rPr>
        <w:t xml:space="preserve">Target metrics · Benchmark suite · Regression policy</w:t>
      </w:r>
    </w:p>
    <w:p>
      <w:r>
        <w:br w:type="page"/>
      </w:r>
    </w:p>
    <w:p>
      <w:pPr>
        <w:pStyle w:val="Heading1"/>
        <w:spacing w:after="160" w:before="400"/>
      </w:pPr>
      <w:bookmarkStart w:name="toc" w:id="1"/>
      <w:r>
        <w:rPr>
          <w:rFonts w:ascii="Calibri" w:cs="Calibri" w:eastAsia="Calibri" w:hAnsi="Calibri"/>
          <w:b/>
          <w:bCs/>
          <w:color w:val="1B2A4A"/>
          <w:sz w:val="34"/>
          <w:szCs w:val="34"/>
        </w:rPr>
        <w:t xml:space="preserve">Table of Contents</w:t>
      </w:r>
      <w:bookmarkEnd w:id="1"/>
    </w:p>
    <w:sdt>
      <w:sdtPr>
        <w:alias w:val="Table of Contents"/>
      </w:sdtPr>
      <w:sdtContent>
        <w:p>
          <w:r>
            <w:fldChar w:fldCharType="begin" w:dirty="true"/>
            <w:instrText xml:space="preserve">TOC \h \o "1-3" \t "Heading 1,1,Heading 2,2,Heading 3,3"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400"/>
      </w:pPr>
      <w:bookmarkStart w:name="purpose" w:id="1"/>
      <w:r>
        <w:rPr>
          <w:rFonts w:ascii="Calibri" w:cs="Calibri" w:eastAsia="Calibri" w:hAnsi="Calibri"/>
          <w:b/>
          <w:bCs/>
          <w:color w:val="1B2A4A"/>
          <w:sz w:val="34"/>
          <w:szCs w:val="34"/>
        </w:rPr>
        <w:t xml:space="preserve">1. Purpose</w:t>
      </w:r>
      <w:bookmarkEnd w:id="1"/>
    </w:p>
    <w:p>
      <w:pPr>
        <w:spacing w:after="100" w:before="6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This document establishes the performance targets for AppThere Loki before Phase 1 code is written. Targets are agreed upon now so that benchmarks can be written alongside implementation — not retrofitted after a slow system ships.</w:t>
      </w:r>
    </w:p>
    <w:p>
      <w:pPr>
        <w:spacing w:after="110" w:before="0"/>
      </w:pPr>
      <w:r>
        <w:t xml:space="preserve"/>
      </w:r>
    </w:p>
    <w:p>
      <w:pPr>
        <w:spacing w:after="100" w:before="6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Performance targets are not aspirational. They are exit criteria. A phase is not complete if its performance targets are not met on the reference hardware.</w:t>
      </w:r>
    </w:p>
    <w:p>
      <w:pPr>
        <w:spacing w:after="11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1"/>
              <w:left w:val="single" w:color="2563EB" w:sz="16"/>
              <w:bottom w:val="single" w:color="2563EB" w:sz="1"/>
              <w:right w:val="single" w:color="2563EB" w:sz="1"/>
            </w:tcBorders>
            <w:shd w:fill="EFF6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1"/>
                <w:szCs w:val="21"/>
              </w:rPr>
              <w:t xml:space="preserve">Reference Hardware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Desktop: AMD Ryzen 7 5800X (8-core), 32 GB RAM, NVIDIA RTX 3070 (Windows 11)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Desktop alt: Apple M2 Pro MacBook Pro 14", 16 GB RAM (macOS 14)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Linux: Ubuntu 22.04 VM, 8 vCPU, 16 GB RAM, no GPU (CI representative)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Tablet: iPad Pro M2 (11"), 8 GB RAM (iOS) — Phase 4+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Phone: Samsung Galaxy S22 (Android 13, 8 GB RAM) — Phase 4+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Low-end Android: Galaxy A54 (Android 13, 6 GB RAM) — Phase 4+</w:t>
            </w:r>
          </w:p>
        </w:tc>
      </w:tr>
    </w:tbl>
    <w:p>
      <w:pPr>
        <w:spacing w:after="110" w:before="0"/>
      </w:pPr>
      <w:r>
        <w:t xml:space="preserve"/>
      </w:r>
    </w:p>
    <w:p>
      <w:pPr>
        <w:pStyle w:val="Heading1"/>
        <w:spacing w:after="160" w:before="400"/>
      </w:pPr>
      <w:bookmarkStart w:name="p1_targets" w:id="1"/>
      <w:r>
        <w:rPr>
          <w:rFonts w:ascii="Calibri" w:cs="Calibri" w:eastAsia="Calibri" w:hAnsi="Calibri"/>
          <w:b/>
          <w:bCs/>
          <w:color w:val="1B2A4A"/>
          <w:sz w:val="34"/>
          <w:szCs w:val="34"/>
        </w:rPr>
        <w:t xml:space="preserve">2. Phase 1 — Kernel &amp; Skia Renderer</w:t>
      </w:r>
      <w:bookmarkEnd w:id="1"/>
    </w:p>
    <w:p>
      <w:pPr>
        <w:spacing w:after="100" w:before="6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Phase 1 targets cover the headless CPU render path only. GPU targets are established in Phase 4.</w:t>
      </w:r>
    </w:p>
    <w:p>
      <w:pPr>
        <w:spacing w:after="110" w:before="0"/>
      </w:pPr>
      <w:r>
        <w:t xml:space="preserve"/>
      </w:r>
    </w:p>
    <w:p>
      <w:pPr>
        <w:pStyle w:val="Heading2"/>
        <w:spacing w:after="120" w:before="300"/>
      </w:pPr>
      <w:bookmarkStart w:name="tile_time" w:id="1"/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2.1 Tile Render Time (CPU, BitmapRenderSurface)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1600"/>
        <w:gridCol w:w="2960"/>
      </w:tblGrid>
      <w:tr>
        <w:trPr>
          <w:tblHeader/>
        </w:trPr>
        <w:tc>
          <w:tcPr>
            <w:tcW w:type="dxa" w:w="3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Tile Content</w:t>
            </w:r>
          </w:p>
        </w:tc>
        <w:tc>
          <w:tcPr>
            <w:tcW w:type="dxa" w:w="1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P50 Target</w:t>
            </w:r>
          </w:p>
        </w:tc>
        <w:tc>
          <w:tcPr>
            <w:tcW w:type="dxa" w:w="1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P95 Target</w:t>
            </w:r>
          </w:p>
        </w:tc>
        <w:tc>
          <w:tcPr>
            <w:tcW w:type="dxa" w:w="29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 Scene Reference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Blank (white fill only)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&lt; 0.5 ms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&lt; 1.0 ms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SolidRect_Fill golden test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Latin text — light (body copy, 12pt, 1 column)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&lt; 4 ms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&lt; 8 ms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LatinText_Regular golden test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Latin text — heavy (mixed weights, tables, images)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&lt; 12 ms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&lt; 20 ms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Phase 1 full test scene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Arabic RTL paragraph (HarfBuzz shaped)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&lt; 6 ms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&lt; 12 ms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ArabicText_RTL golden test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CJK paragraph (NotoSansSC glyphs)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&lt; 8 ms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&lt; 16 ms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CJK_Fallback golden test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Image node (512×512 JPEG, decoded)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&lt; 3 ms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&lt; 6 ms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ImageNode_JPEG golden test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Complex grouped scene (all node types)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&lt; 20 ms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&lt; 35 ms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Phase 1 full test scene</w:t>
            </w:r>
          </w:p>
        </w:tc>
      </w:tr>
    </w:tbl>
    <w:p>
      <w:pPr>
        <w:spacing w:after="11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45309" w:sz="1"/>
              <w:left w:val="single" w:color="B45309" w:sz="16"/>
              <w:bottom w:val="single" w:color="B45309" w:sz="1"/>
              <w:right w:val="single" w:color="B45309" w:sz="1"/>
            </w:tcBorders>
            <w:shd w:fill="FFF7ED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1"/>
                <w:szCs w:val="21"/>
              </w:rPr>
              <w:t xml:space="preserve">Measurement Method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All tile render times measured using BenchmarkDotNet on the reference desktop hardware.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512×512 px tiles at 96 dpi. Each benchmark: 10 warmup iterations, 100 measured iterations.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P50 = median; P95 = 95th percentile. Results committed to docs/benchmarks/ as JSON.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Benchmarks run automatically in CI on the ubuntu-latest runner for regression detection.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Absolute values will differ on CI hardware — CI targets are 3× the desktop targets.</w:t>
            </w:r>
          </w:p>
        </w:tc>
      </w:tr>
    </w:tbl>
    <w:p>
      <w:pPr>
        <w:spacing w:after="110" w:before="0"/>
      </w:pPr>
      <w:r>
        <w:t xml:space="preserve"/>
      </w:r>
    </w:p>
    <w:p>
      <w:pPr>
        <w:pStyle w:val="Heading2"/>
        <w:spacing w:after="120" w:before="300"/>
      </w:pPr>
      <w:bookmarkStart w:name="pdf_time" w:id="1"/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2.2 PDF Export Time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rPr>
          <w:tblHeader/>
        </w:trPr>
        <w:tc>
          <w:tcPr>
            <w:tcW w:type="dxa" w:w="3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1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45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Single A4 page (Latin text + 1 image)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&lt; 150 ms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Full PdfRenderSurface path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10-page document (mixed content)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&lt; 800 ms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Sequential page rendering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50-page document (heavy images)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&lt; 5 s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Acceptable for batch/server use</w:t>
            </w:r>
          </w:p>
        </w:tc>
      </w:tr>
    </w:tbl>
    <w:p>
      <w:pPr>
        <w:spacing w:after="110" w:before="0"/>
      </w:pPr>
      <w:r>
        <w:t xml:space="preserve"/>
      </w:r>
    </w:p>
    <w:p>
      <w:pPr>
        <w:pStyle w:val="Heading2"/>
        <w:spacing w:after="120" w:before="300"/>
      </w:pPr>
      <w:bookmarkStart w:name="startup_time" w:id="1"/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2.3 Startup Time (lokiprint CLI)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rPr>
          <w:tblHeader/>
        </w:trPr>
        <w:tc>
          <w:tcPr>
            <w:tcW w:type="dxa" w:w="3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Measurement</w:t>
            </w:r>
          </w:p>
        </w:tc>
        <w:tc>
          <w:tcPr>
            <w:tcW w:type="dxa" w:w="1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45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Includes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Cold start to first tile rendered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&lt; 800 ms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DI build, font manager init, bundled font load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Warm start (fonts cached)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&lt; 200 ms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DI build only; SKFontManager reuses cached data</w:t>
            </w:r>
          </w:p>
        </w:tc>
      </w:tr>
    </w:tbl>
    <w:p>
      <w:pPr>
        <w:spacing w:after="110" w:before="0"/>
      </w:pPr>
      <w:r>
        <w:t xml:space="preserve"/>
      </w:r>
    </w:p>
    <w:p>
      <w:pPr>
        <w:pStyle w:val="Heading2"/>
        <w:spacing w:after="120" w:before="300"/>
      </w:pPr>
      <w:bookmarkStart w:name="memory_p1" w:id="1"/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2.4 Memory Footprint (lokiprint, headless)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Measurement</w:t>
            </w:r>
          </w:p>
        </w:tc>
        <w:tc>
          <w:tcPr>
            <w:tcW w:type="dxa" w:w="53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RSS after startup (no document loaded)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&lt; 120 MB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RSS during single A4 page render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&lt; 200 MB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RSS during 50-page PDF export (peak)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&lt; 400 MB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Tile cache max (default 16 tiles × 1 MB)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16 MB — configurable</w:t>
            </w:r>
          </w:p>
        </w:tc>
      </w:tr>
    </w:tbl>
    <w:p>
      <w:pPr>
        <w:spacing w:after="110" w:before="0"/>
      </w:pPr>
      <w:r>
        <w:t xml:space="preserve"/>
      </w:r>
    </w:p>
    <w:p>
      <w:pPr>
        <w:pStyle w:val="Heading1"/>
        <w:spacing w:after="160" w:before="400"/>
      </w:pPr>
      <w:bookmarkStart w:name="p4_targets" w:id="1"/>
      <w:r>
        <w:rPr>
          <w:rFonts w:ascii="Calibri" w:cs="Calibri" w:eastAsia="Calibri" w:hAnsi="Calibri"/>
          <w:b/>
          <w:bCs/>
          <w:color w:val="1B2A4A"/>
          <w:sz w:val="34"/>
          <w:szCs w:val="34"/>
        </w:rPr>
        <w:t xml:space="preserve">3. Phase 4 — UI Tile Rendering (GPU)</w:t>
      </w:r>
      <w:bookmarkEnd w:id="1"/>
    </w:p>
    <w:p>
      <w:pPr>
        <w:spacing w:after="100" w:before="6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These targets are established now for reference. They will be verified when Phase 4 is implemented.</w:t>
      </w:r>
    </w:p>
    <w:p>
      <w:pPr>
        <w:spacing w:after="110" w:before="0"/>
      </w:pPr>
      <w:r>
        <w:t xml:space="preserve"/>
      </w:r>
    </w:p>
    <w:p>
      <w:pPr>
        <w:pStyle w:val="Heading2"/>
        <w:spacing w:after="120" w:before="300"/>
      </w:pPr>
      <w:bookmarkStart w:name="scroll_perf" w:id="1"/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3.1 Scroll Performance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41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Measurement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Desktop (GPU: RTX 3070 / M2 Metal)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60 fps sustained during scroll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Frame time &lt; 16.7 ms P99 while scrolling a 50-page document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Tablet iPad Pro M2 (Metal)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60 fps sustained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Same as desktop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Android high-end Galaxy S22 (GL ES)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60 fps sustained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Frame time &lt; 16.7 ms P99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Android low-end Galaxy A54 (GL ES)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30 fps sustained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Frame time &lt; 33 ms P99; acceptable degradation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Linux CI (CPU fallback)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Tile ready &lt; 35 ms P95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No GPU — CPU fallback expected</w:t>
            </w:r>
          </w:p>
        </w:tc>
      </w:tr>
    </w:tbl>
    <w:p>
      <w:pPr>
        <w:spacing w:after="110" w:before="0"/>
      </w:pPr>
      <w:r>
        <w:t xml:space="preserve"/>
      </w:r>
    </w:p>
    <w:p>
      <w:pPr>
        <w:pStyle w:val="Heading2"/>
        <w:spacing w:after="120" w:before="300"/>
      </w:pPr>
      <w:bookmarkStart w:name="cold_open" w:id="1"/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3.2 Cold Open Time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size</w:t>
            </w:r>
          </w:p>
        </w:tc>
        <w:tc>
          <w:tcPr>
            <w:tcW w:type="dxa" w:w="2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41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&lt; 10 pages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&lt; 1.5 s from tap to first tile visible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Includes format parse + first layout pass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10–50 pages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&lt; 3 s from tap to first tile visible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First page visible; remainder loads in background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50–200 pages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&lt; 5 s from tap to first tile visible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Progressive load; scroll activates layout on demand</w:t>
            </w:r>
          </w:p>
        </w:tc>
      </w:tr>
    </w:tbl>
    <w:p>
      <w:pPr>
        <w:spacing w:after="110" w:before="0"/>
      </w:pPr>
      <w:r>
        <w:t xml:space="preserve"/>
      </w:r>
    </w:p>
    <w:p>
      <w:pPr>
        <w:pStyle w:val="Heading2"/>
        <w:spacing w:after="120" w:before="300"/>
      </w:pPr>
      <w:bookmarkStart w:name="mobile_memory" w:id="1"/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3.3 Mobile Memory Budget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2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 RSS budget</w:t>
            </w:r>
          </w:p>
        </w:tc>
        <w:tc>
          <w:tcPr>
            <w:tcW w:type="dxa" w:w="37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Tile cache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iOS (iPad Pro M2, 8 GB)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&lt; 400 MB at rest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128 tiles = 128 MB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iOS (iPhone 15, 6 GB)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&lt; 250 MB at rest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64 tiles = 64 MB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Android high-end (8 GB)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&lt; 350 MB at rest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128 tiles = 128 MB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Android low-end (6 GB)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&lt; 200 MB at rest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64 tiles = 64 MB — aggressive eviction</w:t>
            </w:r>
          </w:p>
        </w:tc>
      </w:tr>
    </w:tbl>
    <w:p>
      <w:pPr>
        <w:spacing w:after="110" w:before="0"/>
      </w:pPr>
      <w:r>
        <w:t xml:space="preserve"/>
      </w:r>
    </w:p>
    <w:p>
      <w:pPr>
        <w:pStyle w:val="Heading1"/>
        <w:spacing w:after="160" w:before="400"/>
      </w:pPr>
      <w:bookmarkStart w:name="regression" w:id="1"/>
      <w:r>
        <w:rPr>
          <w:rFonts w:ascii="Calibri" w:cs="Calibri" w:eastAsia="Calibri" w:hAnsi="Calibri"/>
          <w:b/>
          <w:bCs/>
          <w:color w:val="1B2A4A"/>
          <w:sz w:val="34"/>
          <w:szCs w:val="34"/>
        </w:rPr>
        <w:t xml:space="preserve">4. Regression Policy</w:t>
      </w:r>
      <w:bookmarkEnd w:id="1"/>
    </w:p>
    <w:p>
      <w:pPr>
        <w:spacing w:after="100" w:before="6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A performance regression is defined as any benchmark that exceeds its P95 target by more than 20% in a PR against main. Regressions block merging.</w:t>
      </w:r>
    </w:p>
    <w:p>
      <w:pPr>
        <w:spacing w:after="11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Regression severity</w:t>
            </w:r>
          </w:p>
        </w:tc>
        <w:tc>
          <w:tcPr>
            <w:tcW w:type="dxa" w:w="3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45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Blocking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P95 exceeds target by &gt; 20%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PR cannot merge until fixed or target is revised via ADR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Warning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P95 exceeds target by 5–20%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PR merges; GitHub issue filed; must be resolved in next patch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Informational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P50 increases but P95 remains within target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Comment in PR; no action required</w:t>
            </w:r>
          </w:p>
        </w:tc>
      </w:tr>
    </w:tbl>
    <w:p>
      <w:pPr>
        <w:spacing w:after="110" w:before="0"/>
      </w:pPr>
      <w:r>
        <w:t xml:space="preserve"/>
      </w:r>
    </w:p>
    <w:p>
      <w:pPr>
        <w:pStyle w:val="Heading2"/>
        <w:spacing w:after="120" w:before="300"/>
      </w:pPr>
      <w:bookmarkStart w:name="bench_infra" w:id="1"/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4.1 Benchmark Infrastructure</w:t>
      </w:r>
      <w:bookmarkEnd w:id="1"/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BenchmarkDotNet (MIT licence) runs in a dedicated benchmark project: tests/benchmarks/AppThere.Loki.Benchmarks.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Benchmarks run on the ubuntu-latest GitHub Actions runner for reproducibility. Results stored as JSON in docs/benchmarks/results/ and committed.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A GitHub Actions benchmark job runs on every PR to main. It compares results against the committed baseline and fails if any benchmark exceeds its P95 target by &gt; 20%.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Baseline is updated manually when a performance improvement is intentional: run benchmarks locally on reference hardware, commit results, open a PR with a 'perf:' commit message.</w:t>
      </w:r>
    </w:p>
    <w:p>
      <w:pPr>
        <w:spacing w:after="110" w:before="0"/>
      </w:pPr>
      <w:r>
        <w:t xml:space="preserve"/>
      </w:r>
    </w:p>
    <w:p>
      <w:pPr>
        <w:pStyle w:val="Heading2"/>
        <w:spacing w:after="120" w:before="300"/>
      </w:pPr>
      <w:bookmarkStart w:name="bench_exclusions" w:id="1"/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4.2 What Not to Benchmark</w:t>
      </w:r>
      <w:bookmarkEnd w:id="1"/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Network I/O (font download, cloud storage) — too variable; test with mocks.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File system I/O in isolation — covered by IStorage contract tests.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UI frame rate on CI — no GPU; covered by manual testing on reference hardware.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Start-up time on CI — too variable; measured locally on reference hardware.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1"/>
      </w:pBdr>
      <w:spacing w:before="120"/>
      <w:jc w:val="right"/>
    </w:pPr>
    <w:r>
      <w:rPr>
        <w:rFonts w:ascii="Calibri" w:cs="Calibri" w:eastAsia="Calibri" w:hAnsi="Calibri"/>
        <w:color w:val="94A3B8"/>
        <w:sz w:val="18"/>
        <w:szCs w:val="18"/>
      </w:rPr>
      <w:t xml:space="preserve">Page </w:t>
    </w:r>
    <w:r>
      <w:rPr>
        <w:rFonts w:ascii="Calibri" w:cs="Calibri" w:eastAsia="Calibri" w:hAnsi="Calibri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94A3B8"/>
        <w:sz w:val="18"/>
        <w:szCs w:val="18"/>
      </w:rPr>
      <w:t xml:space="preserve"> of </w:t>
    </w:r>
    <w:r>
      <w:rPr>
        <w:rFonts w:ascii="Calibri" w:cs="Calibri" w:eastAsia="Calibri" w:hAnsi="Calibri"/>
        <w:color w:val="94A3B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1"/>
      </w:pBdr>
      <w:spacing w:after="120"/>
    </w:pPr>
    <w:r>
      <w:rPr>
        <w:rFonts w:ascii="Calibri" w:cs="Calibri" w:eastAsia="Calibri" w:hAnsi="Calibri"/>
        <w:color w:val="94A3B8"/>
        <w:sz w:val="18"/>
        <w:szCs w:val="18"/>
      </w:rPr>
      <w:t xml:space="preserve">AppThere Loki  ·  Performance Baseline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Calibri" w:cs="Calibri" w:eastAsia="Calibri" w:hAnsi="Calibri"/>
      <w:b/>
      <w:bCs/>
      <w:color w:val="1B2A4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Calibri" w:cs="Calibri" w:eastAsia="Calibri" w:hAnsi="Calibri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Calibri" w:cs="Calibri" w:eastAsia="Calibri" w:hAnsi="Calibri"/>
      <w:b/>
      <w:bCs/>
      <w:color w:val="0D9488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AppThere Loki — Performance Baseline</dc:title>
  <dc:creator>AppThere</dc:creator>
  <cp:lastModifiedBy>Un-named</cp:lastModifiedBy>
  <cp:revision>1</cp:revision>
  <dcterms:created xsi:type="dcterms:W3CDTF">2026-03-05T06:17:58.981Z</dcterms:created>
  <dcterms:modified xsi:type="dcterms:W3CDTF">2026-03-05T06:17:58.981Z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