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C1A3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 xml:space="preserve">Manual de Identidad Corporativa — </w:t>
      </w:r>
      <w:proofErr w:type="spellStart"/>
      <w:r w:rsidRPr="00D46046">
        <w:rPr>
          <w:b/>
          <w:bCs/>
        </w:rPr>
        <w:t>ViTo</w:t>
      </w:r>
      <w:proofErr w:type="spellEnd"/>
      <w:r w:rsidRPr="00D46046">
        <w:rPr>
          <w:b/>
          <w:bCs/>
        </w:rPr>
        <w:t xml:space="preserve"> (</w:t>
      </w:r>
      <w:proofErr w:type="spellStart"/>
      <w:r w:rsidRPr="00D46046">
        <w:rPr>
          <w:b/>
          <w:bCs/>
        </w:rPr>
        <w:t>VibeTogether</w:t>
      </w:r>
      <w:proofErr w:type="spellEnd"/>
      <w:r w:rsidRPr="00D46046">
        <w:rPr>
          <w:b/>
          <w:bCs/>
        </w:rPr>
        <w:t>)</w:t>
      </w:r>
    </w:p>
    <w:p w14:paraId="5F973AEB" w14:textId="77777777" w:rsidR="00D46046" w:rsidRPr="00D46046" w:rsidRDefault="00D46046" w:rsidP="00D46046">
      <w:r w:rsidRPr="00D46046">
        <w:rPr>
          <w:b/>
          <w:bCs/>
        </w:rPr>
        <w:t>Versión:</w:t>
      </w:r>
      <w:r w:rsidRPr="00D46046">
        <w:t xml:space="preserve"> 1.0</w:t>
      </w:r>
    </w:p>
    <w:p w14:paraId="47BC25C2" w14:textId="77777777" w:rsidR="00D46046" w:rsidRPr="00D46046" w:rsidRDefault="00D46046" w:rsidP="00D46046">
      <w:r w:rsidRPr="00D46046">
        <w:rPr>
          <w:b/>
          <w:bCs/>
        </w:rPr>
        <w:t>Fecha de Emisión:</w:t>
      </w:r>
      <w:r w:rsidRPr="00D46046">
        <w:t xml:space="preserve"> </w:t>
      </w:r>
      <w:proofErr w:type="gramStart"/>
      <w:r w:rsidRPr="00D46046">
        <w:t>Agosto</w:t>
      </w:r>
      <w:proofErr w:type="gramEnd"/>
      <w:r w:rsidRPr="00D46046">
        <w:t xml:space="preserve"> de 2026</w:t>
      </w:r>
    </w:p>
    <w:p w14:paraId="1801675C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1. Identidad Verbal y Plataforma de Marca</w:t>
      </w:r>
    </w:p>
    <w:p w14:paraId="08E6ECC6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 xml:space="preserve">El </w:t>
      </w:r>
      <w:proofErr w:type="spellStart"/>
      <w:r w:rsidRPr="00D46046">
        <w:rPr>
          <w:b/>
          <w:bCs/>
        </w:rPr>
        <w:t>Naming</w:t>
      </w:r>
      <w:proofErr w:type="spellEnd"/>
      <w:r w:rsidRPr="00D46046">
        <w:rPr>
          <w:b/>
          <w:bCs/>
        </w:rPr>
        <w:t xml:space="preserve"> y su Racional</w:t>
      </w:r>
    </w:p>
    <w:p w14:paraId="1E160BD3" w14:textId="77777777" w:rsidR="00D46046" w:rsidRPr="00D46046" w:rsidRDefault="00D46046" w:rsidP="00D46046">
      <w:r w:rsidRPr="00D46046">
        <w:t xml:space="preserve">El nombre </w:t>
      </w:r>
      <w:proofErr w:type="spellStart"/>
      <w:r w:rsidRPr="00D46046">
        <w:rPr>
          <w:b/>
          <w:bCs/>
        </w:rPr>
        <w:t>ViTo</w:t>
      </w:r>
      <w:proofErr w:type="spellEnd"/>
      <w:r w:rsidRPr="00D46046">
        <w:t xml:space="preserve"> surge como una contracción natural y fonética de </w:t>
      </w:r>
      <w:proofErr w:type="spellStart"/>
      <w:r w:rsidRPr="00D46046">
        <w:rPr>
          <w:b/>
          <w:bCs/>
        </w:rPr>
        <w:t>VibeTogether</w:t>
      </w:r>
      <w:proofErr w:type="spellEnd"/>
      <w:r w:rsidRPr="00D46046">
        <w:t>.</w:t>
      </w:r>
    </w:p>
    <w:p w14:paraId="4ED0515A" w14:textId="77777777" w:rsidR="00D46046" w:rsidRPr="00D46046" w:rsidRDefault="00D46046" w:rsidP="00D46046">
      <w:pPr>
        <w:numPr>
          <w:ilvl w:val="0"/>
          <w:numId w:val="1"/>
        </w:numPr>
      </w:pPr>
      <w:r w:rsidRPr="00D46046">
        <w:rPr>
          <w:b/>
          <w:bCs/>
        </w:rPr>
        <w:t>El prefijo "Vi"</w:t>
      </w:r>
      <w:r w:rsidRPr="00D46046">
        <w:t xml:space="preserve"> evoca tanto las "vibras" (la energía y el ambiente de una celebración) como la visualización y el video, pilares fundamentales de la plataforma.</w:t>
      </w:r>
    </w:p>
    <w:p w14:paraId="28CDD046" w14:textId="77777777" w:rsidR="00D46046" w:rsidRPr="00D46046" w:rsidRDefault="00D46046" w:rsidP="00D46046">
      <w:pPr>
        <w:numPr>
          <w:ilvl w:val="0"/>
          <w:numId w:val="1"/>
        </w:numPr>
      </w:pPr>
      <w:r w:rsidRPr="00D46046">
        <w:rPr>
          <w:b/>
          <w:bCs/>
        </w:rPr>
        <w:t>El sufijo "</w:t>
      </w:r>
      <w:proofErr w:type="spellStart"/>
      <w:r w:rsidRPr="00D46046">
        <w:rPr>
          <w:b/>
          <w:bCs/>
        </w:rPr>
        <w:t>To</w:t>
      </w:r>
      <w:proofErr w:type="spellEnd"/>
      <w:r w:rsidRPr="00D46046">
        <w:rPr>
          <w:b/>
          <w:bCs/>
        </w:rPr>
        <w:t>"</w:t>
      </w:r>
      <w:r w:rsidRPr="00D46046">
        <w:t xml:space="preserve"> refuerza el sentido de conexión y colectividad (</w:t>
      </w:r>
      <w:proofErr w:type="spellStart"/>
      <w:r w:rsidRPr="00D46046">
        <w:rPr>
          <w:i/>
          <w:iCs/>
        </w:rPr>
        <w:t>Together</w:t>
      </w:r>
      <w:proofErr w:type="spellEnd"/>
      <w:r w:rsidRPr="00D46046">
        <w:t>). Fonéticamente, es un nombre corto, de dos sílabas, altamente enérgico, fácil de pronunciar en cualquier idioma y de recordación instantánea para usuarios de todas las edades, desde adolescentes en una fiesta de quince años hasta invitados en bodas corporativas o familiares.</w:t>
      </w:r>
    </w:p>
    <w:p w14:paraId="2F4C22E3" w14:textId="689DFA99" w:rsidR="00D46046" w:rsidRDefault="00D46046" w:rsidP="00D46046">
      <w:pPr>
        <w:rPr>
          <w:b/>
          <w:bCs/>
        </w:rPr>
      </w:pPr>
      <w:r>
        <w:rPr>
          <w:b/>
          <w:bCs/>
        </w:rPr>
        <w:t>Logo</w:t>
      </w:r>
    </w:p>
    <w:p w14:paraId="13D403CE" w14:textId="6DD1BD20" w:rsidR="00D46046" w:rsidRDefault="00D46046" w:rsidP="00D4604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5E395B" wp14:editId="7BF1B665">
            <wp:extent cx="5148125" cy="2810354"/>
            <wp:effectExtent l="0" t="0" r="0" b="9525"/>
            <wp:docPr id="1834481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950" cy="2840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BDA74" w14:textId="48744371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Eslogan (</w:t>
      </w:r>
      <w:proofErr w:type="spellStart"/>
      <w:r w:rsidRPr="00D46046">
        <w:rPr>
          <w:b/>
          <w:bCs/>
        </w:rPr>
        <w:t>Tagline</w:t>
      </w:r>
      <w:proofErr w:type="spellEnd"/>
      <w:r w:rsidRPr="00D46046">
        <w:rPr>
          <w:b/>
          <w:bCs/>
        </w:rPr>
        <w:t>)</w:t>
      </w:r>
    </w:p>
    <w:p w14:paraId="13B889DB" w14:textId="77777777" w:rsidR="00D46046" w:rsidRPr="00D46046" w:rsidRDefault="00D46046" w:rsidP="00D46046">
      <w:r w:rsidRPr="00D46046">
        <w:rPr>
          <w:b/>
          <w:bCs/>
        </w:rPr>
        <w:t>"Vive la vibra, guarda el momento."</w:t>
      </w:r>
    </w:p>
    <w:p w14:paraId="298D57D3" w14:textId="77777777" w:rsidR="00D46046" w:rsidRPr="00D46046" w:rsidRDefault="00D46046" w:rsidP="00D46046">
      <w:r w:rsidRPr="00D46046">
        <w:rPr>
          <w:i/>
          <w:iCs/>
        </w:rPr>
        <w:t>Racional:</w:t>
      </w:r>
      <w:r w:rsidRPr="00D46046">
        <w:t xml:space="preserve"> Resume la propuesta de valor en dos tiempos: la experiencia en vivo durante el evento (la interacción y el festejo) y la permanencia digital a través del mosaico de recuerdos.</w:t>
      </w:r>
    </w:p>
    <w:p w14:paraId="2E6EF526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Tono y Voz</w:t>
      </w:r>
    </w:p>
    <w:p w14:paraId="71BF6ED2" w14:textId="77777777" w:rsidR="00D46046" w:rsidRPr="00D46046" w:rsidRDefault="00D46046" w:rsidP="00D46046">
      <w:r w:rsidRPr="00D46046">
        <w:t xml:space="preserve">La comunicación de </w:t>
      </w:r>
      <w:proofErr w:type="spellStart"/>
      <w:r w:rsidRPr="00D46046">
        <w:t>ViTo</w:t>
      </w:r>
      <w:proofErr w:type="spellEnd"/>
      <w:r w:rsidRPr="00D46046">
        <w:t xml:space="preserve"> con sus usuarios es </w:t>
      </w:r>
      <w:r w:rsidRPr="00D46046">
        <w:rPr>
          <w:b/>
          <w:bCs/>
        </w:rPr>
        <w:t>cercana, enérgica, moderna y confiable</w:t>
      </w:r>
      <w:r w:rsidRPr="00D46046">
        <w:t>.</w:t>
      </w:r>
    </w:p>
    <w:p w14:paraId="580B5B15" w14:textId="77777777" w:rsidR="00D46046" w:rsidRPr="00D46046" w:rsidRDefault="00D46046" w:rsidP="00D46046">
      <w:pPr>
        <w:numPr>
          <w:ilvl w:val="0"/>
          <w:numId w:val="2"/>
        </w:numPr>
      </w:pPr>
      <w:r w:rsidRPr="00D46046">
        <w:rPr>
          <w:b/>
          <w:bCs/>
        </w:rPr>
        <w:lastRenderedPageBreak/>
        <w:t>Cercana y Amigable:</w:t>
      </w:r>
      <w:r w:rsidRPr="00D46046">
        <w:t xml:space="preserve"> Habla de tú a tú, celebrando los momentos importantes sin formalidades corporativas aburridas.</w:t>
      </w:r>
    </w:p>
    <w:p w14:paraId="46B22AF1" w14:textId="77777777" w:rsidR="00D46046" w:rsidRPr="00D46046" w:rsidRDefault="00D46046" w:rsidP="00D46046">
      <w:pPr>
        <w:numPr>
          <w:ilvl w:val="0"/>
          <w:numId w:val="2"/>
        </w:numPr>
      </w:pPr>
      <w:r w:rsidRPr="00D46046">
        <w:rPr>
          <w:b/>
          <w:bCs/>
        </w:rPr>
        <w:t>Clara y Directa:</w:t>
      </w:r>
      <w:r w:rsidRPr="00D46046">
        <w:t xml:space="preserve"> Evita la jerga técnica innecesaria cuando se dirige al usuario final (anfitriones e invitados).</w:t>
      </w:r>
    </w:p>
    <w:p w14:paraId="3C26321F" w14:textId="77777777" w:rsidR="00D46046" w:rsidRPr="00D46046" w:rsidRDefault="00D46046" w:rsidP="00D46046">
      <w:pPr>
        <w:numPr>
          <w:ilvl w:val="0"/>
          <w:numId w:val="2"/>
        </w:numPr>
      </w:pPr>
      <w:r w:rsidRPr="00D46046">
        <w:rPr>
          <w:b/>
          <w:bCs/>
        </w:rPr>
        <w:t>Entusiasta:</w:t>
      </w:r>
      <w:r w:rsidRPr="00D46046">
        <w:t xml:space="preserve"> Transmite la emoción propia de una celebración, un cumpleaños o una boda.</w:t>
      </w:r>
    </w:p>
    <w:p w14:paraId="205DAF8C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2. El Logotipo y sus Normas de Construcción</w:t>
      </w:r>
    </w:p>
    <w:p w14:paraId="452450FF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Logotipo Principal y Variaciones</w:t>
      </w:r>
    </w:p>
    <w:p w14:paraId="1D4416E3" w14:textId="77777777" w:rsidR="00D46046" w:rsidRPr="00D46046" w:rsidRDefault="00D46046" w:rsidP="00D46046">
      <w:pPr>
        <w:numPr>
          <w:ilvl w:val="0"/>
          <w:numId w:val="3"/>
        </w:numPr>
      </w:pPr>
      <w:r w:rsidRPr="00D46046">
        <w:rPr>
          <w:b/>
          <w:bCs/>
        </w:rPr>
        <w:t>Logotipo Principal:</w:t>
      </w:r>
      <w:r w:rsidRPr="00D46046">
        <w:t xml:space="preserve"> Consta de un isotipo minimalista que fusiona la letra "V" con un destello o chispa abstracta de celebración, acompañado a su derecha por la palabra </w:t>
      </w:r>
      <w:proofErr w:type="spellStart"/>
      <w:r w:rsidRPr="00D46046">
        <w:rPr>
          <w:b/>
          <w:bCs/>
        </w:rPr>
        <w:t>ViTo</w:t>
      </w:r>
      <w:proofErr w:type="spellEnd"/>
      <w:r w:rsidRPr="00D46046">
        <w:t xml:space="preserve"> en una tipografía </w:t>
      </w:r>
      <w:proofErr w:type="spellStart"/>
      <w:r w:rsidRPr="00D46046">
        <w:t>sans-serif</w:t>
      </w:r>
      <w:proofErr w:type="spellEnd"/>
      <w:r w:rsidRPr="00D46046">
        <w:t xml:space="preserve"> redondeada, moderna y sólida.</w:t>
      </w:r>
    </w:p>
    <w:p w14:paraId="582ECA8B" w14:textId="77777777" w:rsidR="00D46046" w:rsidRPr="00D46046" w:rsidRDefault="00D46046" w:rsidP="00D46046">
      <w:pPr>
        <w:numPr>
          <w:ilvl w:val="0"/>
          <w:numId w:val="3"/>
        </w:numPr>
      </w:pPr>
      <w:r w:rsidRPr="00D46046">
        <w:rPr>
          <w:b/>
          <w:bCs/>
        </w:rPr>
        <w:t>Variante Monocromática:</w:t>
      </w:r>
      <w:r w:rsidRPr="00D46046">
        <w:t xml:space="preserve"> Diseñada para fondos claros u oscuros usando una sola tinta (Blanco Hielo Puro o Gris Carbón Dominante).</w:t>
      </w:r>
    </w:p>
    <w:p w14:paraId="161D2CA9" w14:textId="77777777" w:rsidR="00D46046" w:rsidRPr="00D46046" w:rsidRDefault="00D46046" w:rsidP="00D46046">
      <w:pPr>
        <w:numPr>
          <w:ilvl w:val="0"/>
          <w:numId w:val="3"/>
        </w:numPr>
      </w:pPr>
      <w:r w:rsidRPr="00D46046">
        <w:rPr>
          <w:b/>
          <w:bCs/>
        </w:rPr>
        <w:t>Isotipo Aislado:</w:t>
      </w:r>
      <w:r w:rsidRPr="00D46046">
        <w:t xml:space="preserve"> Utilizado exclusivamente para el ícono de la aplicación móvil (App </w:t>
      </w:r>
      <w:proofErr w:type="spellStart"/>
      <w:r w:rsidRPr="00D46046">
        <w:t>Icon</w:t>
      </w:r>
      <w:proofErr w:type="spellEnd"/>
      <w:r w:rsidRPr="00D46046">
        <w:t>) y avatares en redes sociales, donde el espacio de visualización es reducido.</w:t>
      </w:r>
    </w:p>
    <w:p w14:paraId="78471407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Área de Protección (Clear Space)</w:t>
      </w:r>
    </w:p>
    <w:p w14:paraId="59D83911" w14:textId="77777777" w:rsidR="00D46046" w:rsidRPr="00D46046" w:rsidRDefault="00D46046" w:rsidP="00D46046">
      <w:r w:rsidRPr="00D46046">
        <w:t>Para garantizar la máxima legibilidad del logotipo y evitar interferencias visuales, se establece un área de seguridad obligatoria alrededor de toda la marca.</w:t>
      </w:r>
    </w:p>
    <w:p w14:paraId="57122A00" w14:textId="77777777" w:rsidR="00D46046" w:rsidRPr="00D46046" w:rsidRDefault="00D46046" w:rsidP="00D46046">
      <w:pPr>
        <w:numPr>
          <w:ilvl w:val="0"/>
          <w:numId w:val="4"/>
        </w:numPr>
      </w:pPr>
      <w:r w:rsidRPr="00D46046">
        <w:t>La unidad de medida para este espacio (</w:t>
      </w:r>
      <w:proofErr w:type="spellStart"/>
      <w:r w:rsidRPr="00D46046">
        <w:rPr>
          <w:i/>
          <w:iCs/>
        </w:rPr>
        <w:t>Padding</w:t>
      </w:r>
      <w:proofErr w:type="spellEnd"/>
      <w:r w:rsidRPr="00D46046">
        <w:t>) equivale exactamente al ancho de la letra "o" minúscula del logotipo. Ningún elemento gráfico, texto o borde de pantalla debe invadir este perímetro.</w:t>
      </w:r>
    </w:p>
    <w:p w14:paraId="6EE22042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Tamaños Mínimos de Reproducción</w:t>
      </w:r>
    </w:p>
    <w:p w14:paraId="73FC7125" w14:textId="77777777" w:rsidR="00D46046" w:rsidRPr="00D46046" w:rsidRDefault="00D46046" w:rsidP="00D46046">
      <w:pPr>
        <w:numPr>
          <w:ilvl w:val="0"/>
          <w:numId w:val="5"/>
        </w:numPr>
      </w:pPr>
      <w:r w:rsidRPr="00D46046">
        <w:rPr>
          <w:b/>
          <w:bCs/>
        </w:rPr>
        <w:t>Entorno Digital (Pantallas Móviles y Web):</w:t>
      </w:r>
      <w:r w:rsidRPr="00D46046">
        <w:t xml:space="preserve"> El logotipo principal no debe reproducirse a una altura menor a </w:t>
      </w:r>
      <w:r w:rsidRPr="00D46046">
        <w:rPr>
          <w:b/>
          <w:bCs/>
        </w:rPr>
        <w:t>24 píxeles</w:t>
      </w:r>
      <w:r w:rsidRPr="00D46046">
        <w:t xml:space="preserve">. El isotipo aislado se permite hasta un tamaño mínimo de </w:t>
      </w:r>
      <w:r w:rsidRPr="00D46046">
        <w:rPr>
          <w:b/>
          <w:bCs/>
        </w:rPr>
        <w:t>16x16 píxeles</w:t>
      </w:r>
      <w:r w:rsidRPr="00D46046">
        <w:t xml:space="preserve"> para avatares o </w:t>
      </w:r>
      <w:proofErr w:type="spellStart"/>
      <w:r w:rsidRPr="00D46046">
        <w:t>favicons</w:t>
      </w:r>
      <w:proofErr w:type="spellEnd"/>
      <w:r w:rsidRPr="00D46046">
        <w:t>.</w:t>
      </w:r>
    </w:p>
    <w:p w14:paraId="368D8B4F" w14:textId="77777777" w:rsidR="00D46046" w:rsidRPr="00D46046" w:rsidRDefault="00D46046" w:rsidP="00D46046">
      <w:pPr>
        <w:numPr>
          <w:ilvl w:val="0"/>
          <w:numId w:val="5"/>
        </w:numPr>
      </w:pPr>
      <w:r w:rsidRPr="00D46046">
        <w:rPr>
          <w:b/>
          <w:bCs/>
        </w:rPr>
        <w:t xml:space="preserve">Entorno Impreso (Materiales Físicos o </w:t>
      </w:r>
      <w:proofErr w:type="spellStart"/>
      <w:r w:rsidRPr="00D46046">
        <w:rPr>
          <w:b/>
          <w:bCs/>
        </w:rPr>
        <w:t>Merchandising</w:t>
      </w:r>
      <w:proofErr w:type="spellEnd"/>
      <w:r w:rsidRPr="00D46046">
        <w:rPr>
          <w:b/>
          <w:bCs/>
        </w:rPr>
        <w:t>):</w:t>
      </w:r>
      <w:r w:rsidRPr="00D46046">
        <w:t xml:space="preserve"> No menor a </w:t>
      </w:r>
      <w:r w:rsidRPr="00D46046">
        <w:rPr>
          <w:b/>
          <w:bCs/>
        </w:rPr>
        <w:t>10 milímetros</w:t>
      </w:r>
      <w:r w:rsidRPr="00D46046">
        <w:t xml:space="preserve"> de ancho para el logotipo completo.</w:t>
      </w:r>
    </w:p>
    <w:p w14:paraId="6F261AB5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Usos Incorrectos (Prohibiciones)</w:t>
      </w:r>
    </w:p>
    <w:p w14:paraId="23DB76C2" w14:textId="77777777" w:rsidR="00D46046" w:rsidRPr="00D46046" w:rsidRDefault="00D46046" w:rsidP="00D46046">
      <w:r w:rsidRPr="00D46046">
        <w:t>Está estrictamente prohibido:</w:t>
      </w:r>
    </w:p>
    <w:p w14:paraId="3567C49F" w14:textId="77777777" w:rsidR="00D46046" w:rsidRPr="00D46046" w:rsidRDefault="00D46046" w:rsidP="00D46046">
      <w:pPr>
        <w:numPr>
          <w:ilvl w:val="0"/>
          <w:numId w:val="6"/>
        </w:numPr>
      </w:pPr>
      <w:r w:rsidRPr="00D46046">
        <w:t>Alterar las proporciones originales estirando o comprimiendo el logotipo (mantener siempre el bloqueo de escala).</w:t>
      </w:r>
    </w:p>
    <w:p w14:paraId="68EEE0ED" w14:textId="77777777" w:rsidR="00D46046" w:rsidRPr="00D46046" w:rsidRDefault="00D46046" w:rsidP="00D46046">
      <w:pPr>
        <w:numPr>
          <w:ilvl w:val="0"/>
          <w:numId w:val="6"/>
        </w:numPr>
      </w:pPr>
      <w:r w:rsidRPr="00D46046">
        <w:t>Cambiar los colores corporativos autorizados por tonos no pertenecientes a la paleta oficial.</w:t>
      </w:r>
    </w:p>
    <w:p w14:paraId="2F37C3C8" w14:textId="77777777" w:rsidR="00D46046" w:rsidRPr="00D46046" w:rsidRDefault="00D46046" w:rsidP="00D46046">
      <w:pPr>
        <w:numPr>
          <w:ilvl w:val="0"/>
          <w:numId w:val="6"/>
        </w:numPr>
      </w:pPr>
      <w:r w:rsidRPr="00D46046">
        <w:t>Aplicar sombras paralelas, degradados complejos o efectos 3D no aprobados sobre la estructura vectorial.</w:t>
      </w:r>
    </w:p>
    <w:p w14:paraId="095EA7C7" w14:textId="77777777" w:rsidR="00D46046" w:rsidRPr="00D46046" w:rsidRDefault="00D46046" w:rsidP="00D46046">
      <w:pPr>
        <w:numPr>
          <w:ilvl w:val="0"/>
          <w:numId w:val="6"/>
        </w:numPr>
      </w:pPr>
      <w:r w:rsidRPr="00D46046">
        <w:lastRenderedPageBreak/>
        <w:t>Rotar el logotipo en ángulos distintos a 0°.</w:t>
      </w:r>
    </w:p>
    <w:p w14:paraId="0F5721C9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3. El Ecosistema Visual (ADN Gráfico)</w:t>
      </w:r>
    </w:p>
    <w:p w14:paraId="1CB7E11B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Paleta de Colores Corporativa</w:t>
      </w:r>
    </w:p>
    <w:p w14:paraId="55438E6A" w14:textId="77777777" w:rsidR="00D46046" w:rsidRPr="00D46046" w:rsidRDefault="00D46046" w:rsidP="00D46046">
      <w:r w:rsidRPr="00D46046">
        <w:t>Los códigos técnicos obligatorios para mantener la consistencia cromática en pantallas y soportes físicos son:</w:t>
      </w:r>
    </w:p>
    <w:p w14:paraId="1BBB6EE6" w14:textId="77777777" w:rsidR="00D46046" w:rsidRPr="00D46046" w:rsidRDefault="00D46046" w:rsidP="00D46046">
      <w:pPr>
        <w:numPr>
          <w:ilvl w:val="0"/>
          <w:numId w:val="7"/>
        </w:numPr>
      </w:pPr>
      <w:r w:rsidRPr="00D46046">
        <w:rPr>
          <w:b/>
          <w:bCs/>
        </w:rPr>
        <w:t>Gris Carbón Dominante (#0B0F19)</w:t>
      </w:r>
    </w:p>
    <w:p w14:paraId="009A20BC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RGB:</w:t>
      </w:r>
      <w:r w:rsidRPr="00D46046">
        <w:t xml:space="preserve"> 11, 15, 25</w:t>
      </w:r>
    </w:p>
    <w:p w14:paraId="33E68219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CMYK:</w:t>
      </w:r>
      <w:r w:rsidRPr="00D46046">
        <w:t xml:space="preserve"> 56, 40, 0, 90</w:t>
      </w:r>
    </w:p>
    <w:p w14:paraId="2D19BC98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Uso:</w:t>
      </w:r>
      <w:r w:rsidRPr="00D46046">
        <w:t xml:space="preserve"> Fondo principal de la interfaz móvil y web, aportando elegancia y reduciendo la fatiga visual.</w:t>
      </w:r>
    </w:p>
    <w:p w14:paraId="4F64EB72" w14:textId="77777777" w:rsidR="00D46046" w:rsidRPr="00D46046" w:rsidRDefault="00D46046" w:rsidP="00D46046">
      <w:pPr>
        <w:numPr>
          <w:ilvl w:val="0"/>
          <w:numId w:val="7"/>
        </w:numPr>
      </w:pPr>
      <w:r w:rsidRPr="00D46046">
        <w:rPr>
          <w:b/>
          <w:bCs/>
        </w:rPr>
        <w:t>Coral Neón / Fucsia Vibrante (#FF3366)</w:t>
      </w:r>
    </w:p>
    <w:p w14:paraId="6DA95CE6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RGB:</w:t>
      </w:r>
      <w:r w:rsidRPr="00D46046">
        <w:t xml:space="preserve"> 255, 51, 102</w:t>
      </w:r>
    </w:p>
    <w:p w14:paraId="155DDC0B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CMYK:</w:t>
      </w:r>
      <w:r w:rsidRPr="00D46046">
        <w:t xml:space="preserve"> 0, 80, 60, 0</w:t>
      </w:r>
    </w:p>
    <w:p w14:paraId="4CCF4878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Uso:</w:t>
      </w:r>
      <w:r w:rsidRPr="00D46046">
        <w:t xml:space="preserve"> Color primario de acento para llamadas a la acción (CTA), botones de confirmación (RSVP) y alertas clave.</w:t>
      </w:r>
    </w:p>
    <w:p w14:paraId="471BFF75" w14:textId="77777777" w:rsidR="00D46046" w:rsidRPr="00D46046" w:rsidRDefault="00D46046" w:rsidP="00D46046">
      <w:pPr>
        <w:numPr>
          <w:ilvl w:val="0"/>
          <w:numId w:val="7"/>
        </w:numPr>
      </w:pPr>
      <w:r w:rsidRPr="00D46046">
        <w:rPr>
          <w:b/>
          <w:bCs/>
        </w:rPr>
        <w:t>Lavanda Pálido (#D0BFFF)</w:t>
      </w:r>
    </w:p>
    <w:p w14:paraId="1823F982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RGB:</w:t>
      </w:r>
      <w:r w:rsidRPr="00D46046">
        <w:t xml:space="preserve"> 208, 191, 255</w:t>
      </w:r>
    </w:p>
    <w:p w14:paraId="3727A713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CMYK:</w:t>
      </w:r>
      <w:r w:rsidRPr="00D46046">
        <w:t xml:space="preserve"> 18, 25, 0, 0</w:t>
      </w:r>
    </w:p>
    <w:p w14:paraId="07415C3F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Uso:</w:t>
      </w:r>
      <w:r w:rsidRPr="00D46046">
        <w:t xml:space="preserve"> Acento festivo secundario, ideal para estados de eventos especiales (bodas, galas) y tarjetas de invitación digitales.</w:t>
      </w:r>
    </w:p>
    <w:p w14:paraId="717C9647" w14:textId="77777777" w:rsidR="00D46046" w:rsidRPr="00D46046" w:rsidRDefault="00D46046" w:rsidP="00D46046">
      <w:pPr>
        <w:numPr>
          <w:ilvl w:val="0"/>
          <w:numId w:val="7"/>
        </w:numPr>
      </w:pPr>
      <w:r w:rsidRPr="00D46046">
        <w:rPr>
          <w:b/>
          <w:bCs/>
        </w:rPr>
        <w:t>Blanco Hielo Puro (#FFFFFF)</w:t>
      </w:r>
    </w:p>
    <w:p w14:paraId="539E273D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RGB:</w:t>
      </w:r>
      <w:r w:rsidRPr="00D46046">
        <w:t xml:space="preserve"> 255, 255, 255</w:t>
      </w:r>
    </w:p>
    <w:p w14:paraId="75543C54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CMYK:</w:t>
      </w:r>
      <w:r w:rsidRPr="00D46046">
        <w:t xml:space="preserve"> 0, 0, 0, 0</w:t>
      </w:r>
    </w:p>
    <w:p w14:paraId="3B9B554E" w14:textId="77777777" w:rsidR="00D46046" w:rsidRPr="00D46046" w:rsidRDefault="00D46046" w:rsidP="00D46046">
      <w:pPr>
        <w:numPr>
          <w:ilvl w:val="1"/>
          <w:numId w:val="7"/>
        </w:numPr>
      </w:pPr>
      <w:r w:rsidRPr="00D46046">
        <w:rPr>
          <w:i/>
          <w:iCs/>
        </w:rPr>
        <w:t>Uso:</w:t>
      </w:r>
      <w:r w:rsidRPr="00D46046">
        <w:t xml:space="preserve"> Tipografías principales, títulos de alto contraste y elementos estructurales limpios.</w:t>
      </w:r>
    </w:p>
    <w:p w14:paraId="512475AA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Tipografía Corporativa</w:t>
      </w:r>
    </w:p>
    <w:p w14:paraId="7EC2DCE9" w14:textId="77777777" w:rsidR="00D46046" w:rsidRPr="00D46046" w:rsidRDefault="00D46046" w:rsidP="00D46046">
      <w:pPr>
        <w:numPr>
          <w:ilvl w:val="0"/>
          <w:numId w:val="8"/>
        </w:numPr>
      </w:pPr>
      <w:r w:rsidRPr="00D46046">
        <w:rPr>
          <w:b/>
          <w:bCs/>
        </w:rPr>
        <w:t>Titulares y Jerarquías (H1, H2, H3):</w:t>
      </w:r>
      <w:r w:rsidRPr="00D46046">
        <w:t xml:space="preserve"> </w:t>
      </w:r>
      <w:r w:rsidRPr="00D46046">
        <w:rPr>
          <w:i/>
          <w:iCs/>
        </w:rPr>
        <w:t xml:space="preserve">Plus </w:t>
      </w:r>
      <w:proofErr w:type="spellStart"/>
      <w:r w:rsidRPr="00D46046">
        <w:rPr>
          <w:i/>
          <w:iCs/>
        </w:rPr>
        <w:t>Jakarta</w:t>
      </w:r>
      <w:proofErr w:type="spellEnd"/>
      <w:r w:rsidRPr="00D46046">
        <w:rPr>
          <w:i/>
          <w:iCs/>
        </w:rPr>
        <w:t xml:space="preserve"> Sans</w:t>
      </w:r>
      <w:r w:rsidRPr="00D46046">
        <w:t xml:space="preserve"> o </w:t>
      </w:r>
      <w:r w:rsidRPr="00D46046">
        <w:rPr>
          <w:i/>
          <w:iCs/>
        </w:rPr>
        <w:t>Inter</w:t>
      </w:r>
      <w:r w:rsidRPr="00D46046">
        <w:t xml:space="preserve"> (Pesos permitidos: </w:t>
      </w:r>
      <w:r w:rsidRPr="00D46046">
        <w:rPr>
          <w:b/>
          <w:bCs/>
        </w:rPr>
        <w:t>Bold</w:t>
      </w:r>
      <w:r w:rsidRPr="00D46046">
        <w:t xml:space="preserve"> y </w:t>
      </w:r>
      <w:r w:rsidRPr="00D46046">
        <w:rPr>
          <w:b/>
          <w:bCs/>
        </w:rPr>
        <w:t>SemiBold</w:t>
      </w:r>
      <w:r w:rsidRPr="00D46046">
        <w:t>). Aporta un carácter tecnológico, limpio y altamente legible en pantallas de alta densidad.</w:t>
      </w:r>
    </w:p>
    <w:p w14:paraId="14A1D4E7" w14:textId="77777777" w:rsidR="00D46046" w:rsidRPr="00D46046" w:rsidRDefault="00D46046" w:rsidP="00D46046">
      <w:pPr>
        <w:numPr>
          <w:ilvl w:val="0"/>
          <w:numId w:val="8"/>
        </w:numPr>
      </w:pPr>
      <w:r w:rsidRPr="00D46046">
        <w:rPr>
          <w:b/>
          <w:bCs/>
        </w:rPr>
        <w:t>Cuerpos de Texto y Párrafos:</w:t>
      </w:r>
      <w:r w:rsidRPr="00D46046">
        <w:t xml:space="preserve"> </w:t>
      </w:r>
      <w:r w:rsidRPr="00D46046">
        <w:rPr>
          <w:i/>
          <w:iCs/>
        </w:rPr>
        <w:t>Inter</w:t>
      </w:r>
      <w:r w:rsidRPr="00D46046">
        <w:t xml:space="preserve"> o </w:t>
      </w:r>
      <w:proofErr w:type="spellStart"/>
      <w:r w:rsidRPr="00D46046">
        <w:rPr>
          <w:i/>
          <w:iCs/>
        </w:rPr>
        <w:t>Roboto</w:t>
      </w:r>
      <w:proofErr w:type="spellEnd"/>
      <w:r w:rsidRPr="00D46046">
        <w:t xml:space="preserve"> (Pesos permitidos: </w:t>
      </w:r>
      <w:r w:rsidRPr="00D46046">
        <w:rPr>
          <w:b/>
          <w:bCs/>
        </w:rPr>
        <w:t>Regular</w:t>
      </w:r>
      <w:r w:rsidRPr="00D46046">
        <w:t xml:space="preserve"> y </w:t>
      </w:r>
      <w:r w:rsidRPr="00D46046">
        <w:rPr>
          <w:b/>
          <w:bCs/>
        </w:rPr>
        <w:t>Medium</w:t>
      </w:r>
      <w:r w:rsidRPr="00D46046">
        <w:t>). Diseñada para optimizar la lectura rápida de listas de invitados y descripciones de eventos en dispositivos móviles.</w:t>
      </w:r>
    </w:p>
    <w:p w14:paraId="1F7157F2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lastRenderedPageBreak/>
        <w:t>Estilo de Activos Visuales e Iconografía</w:t>
      </w:r>
    </w:p>
    <w:p w14:paraId="5A4790F7" w14:textId="77777777" w:rsidR="00D46046" w:rsidRPr="00D46046" w:rsidRDefault="00D46046" w:rsidP="00D46046">
      <w:pPr>
        <w:numPr>
          <w:ilvl w:val="0"/>
          <w:numId w:val="9"/>
        </w:numPr>
      </w:pPr>
      <w:r w:rsidRPr="00D46046">
        <w:rPr>
          <w:b/>
          <w:bCs/>
        </w:rPr>
        <w:t>Iconografía:</w:t>
      </w:r>
      <w:r w:rsidRPr="00D46046">
        <w:t xml:space="preserve"> Se utilizarán iconos de </w:t>
      </w:r>
      <w:r w:rsidRPr="00D46046">
        <w:rPr>
          <w:b/>
          <w:bCs/>
        </w:rPr>
        <w:t>línea geométrica limpia (</w:t>
      </w:r>
      <w:proofErr w:type="spellStart"/>
      <w:r w:rsidRPr="00D46046">
        <w:rPr>
          <w:b/>
          <w:bCs/>
        </w:rPr>
        <w:t>Outline</w:t>
      </w:r>
      <w:proofErr w:type="spellEnd"/>
      <w:r w:rsidRPr="00D46046">
        <w:rPr>
          <w:b/>
          <w:bCs/>
        </w:rPr>
        <w:t xml:space="preserve"> </w:t>
      </w:r>
      <w:proofErr w:type="spellStart"/>
      <w:r w:rsidRPr="00D46046">
        <w:rPr>
          <w:b/>
          <w:bCs/>
        </w:rPr>
        <w:t>Icons</w:t>
      </w:r>
      <w:proofErr w:type="spellEnd"/>
      <w:r w:rsidRPr="00D46046">
        <w:rPr>
          <w:b/>
          <w:bCs/>
        </w:rPr>
        <w:t>)</w:t>
      </w:r>
      <w:r w:rsidRPr="00D46046">
        <w:t xml:space="preserve"> con un grosor de trazo constante de 2px y terminaciones redondeadas (</w:t>
      </w:r>
      <w:r w:rsidRPr="00D46046">
        <w:rPr>
          <w:i/>
          <w:iCs/>
        </w:rPr>
        <w:t xml:space="preserve">Rounded </w:t>
      </w:r>
      <w:proofErr w:type="spellStart"/>
      <w:r w:rsidRPr="00D46046">
        <w:rPr>
          <w:i/>
          <w:iCs/>
        </w:rPr>
        <w:t>Caps</w:t>
      </w:r>
      <w:proofErr w:type="spellEnd"/>
      <w:r w:rsidRPr="00D46046">
        <w:t>), utilizando el color Blanco Hielo o Lavanda Pálido según el fondo.</w:t>
      </w:r>
    </w:p>
    <w:p w14:paraId="06913A76" w14:textId="77777777" w:rsidR="00D46046" w:rsidRPr="00D46046" w:rsidRDefault="00D46046" w:rsidP="00D46046">
      <w:pPr>
        <w:numPr>
          <w:ilvl w:val="0"/>
          <w:numId w:val="9"/>
        </w:numPr>
      </w:pPr>
      <w:r w:rsidRPr="00D46046">
        <w:rPr>
          <w:b/>
          <w:bCs/>
        </w:rPr>
        <w:t>Tratamiento Fotográfico:</w:t>
      </w:r>
      <w:r w:rsidRPr="00D46046">
        <w:t xml:space="preserve"> Las fotografías de eventos dentro de los mosaicos mantienen esquinas ligeramente redondeadas (radio de 12px) y un sistema de carga fluida sin marcos pesados, priorizando el contenido multimedia del usuario.</w:t>
      </w:r>
    </w:p>
    <w:p w14:paraId="0C7C7578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4. Aplicaciones de la Marca (Mockups y Directrices de Uso)</w:t>
      </w:r>
    </w:p>
    <w:p w14:paraId="1DB343B4" w14:textId="77777777" w:rsidR="00D46046" w:rsidRPr="00D46046" w:rsidRDefault="00D46046" w:rsidP="00D46046">
      <w:pPr>
        <w:rPr>
          <w:b/>
          <w:bCs/>
          <w:lang w:val="en-US"/>
        </w:rPr>
      </w:pPr>
      <w:proofErr w:type="spellStart"/>
      <w:r w:rsidRPr="00D46046">
        <w:rPr>
          <w:b/>
          <w:bCs/>
          <w:lang w:val="en-US"/>
        </w:rPr>
        <w:t>Interfaz</w:t>
      </w:r>
      <w:proofErr w:type="spellEnd"/>
      <w:r w:rsidRPr="00D46046">
        <w:rPr>
          <w:b/>
          <w:bCs/>
          <w:lang w:val="en-US"/>
        </w:rPr>
        <w:t xml:space="preserve"> </w:t>
      </w:r>
      <w:proofErr w:type="spellStart"/>
      <w:r w:rsidRPr="00D46046">
        <w:rPr>
          <w:b/>
          <w:bCs/>
          <w:lang w:val="en-US"/>
        </w:rPr>
        <w:t>Móvil</w:t>
      </w:r>
      <w:proofErr w:type="spellEnd"/>
      <w:r w:rsidRPr="00D46046">
        <w:rPr>
          <w:b/>
          <w:bCs/>
          <w:lang w:val="en-US"/>
        </w:rPr>
        <w:t xml:space="preserve"> y Web (UI Storefront / App Shell)</w:t>
      </w:r>
    </w:p>
    <w:p w14:paraId="01391255" w14:textId="77777777" w:rsidR="00D46046" w:rsidRPr="00D46046" w:rsidRDefault="00D46046" w:rsidP="00D46046">
      <w:pPr>
        <w:numPr>
          <w:ilvl w:val="0"/>
          <w:numId w:val="10"/>
        </w:numPr>
      </w:pPr>
      <w:r w:rsidRPr="00D46046">
        <w:rPr>
          <w:b/>
          <w:bCs/>
        </w:rPr>
        <w:t>Pantalla de Carga (Splash Screen):</w:t>
      </w:r>
      <w:r w:rsidRPr="00D46046">
        <w:t xml:space="preserve"> Fondo sólido en Gris Carbón (#0B0F19) con el isotipo centrado en Blanco Hielo y una barra de carga sutil en Coral Neón (#FF3366).</w:t>
      </w:r>
    </w:p>
    <w:p w14:paraId="0580F45D" w14:textId="77777777" w:rsidR="00D46046" w:rsidRPr="00D46046" w:rsidRDefault="00D46046" w:rsidP="00D46046">
      <w:pPr>
        <w:numPr>
          <w:ilvl w:val="0"/>
          <w:numId w:val="10"/>
        </w:numPr>
      </w:pPr>
      <w:r w:rsidRPr="00D46046">
        <w:rPr>
          <w:b/>
          <w:bCs/>
        </w:rPr>
        <w:t>Botones de Acción (RSVP):</w:t>
      </w:r>
      <w:r w:rsidRPr="00D46046">
        <w:t xml:space="preserve"> El botón principal de confirmación de asistencia debe utilizar invariablemente el fondo Coral Neón con texto en Blanco Hielo para asegurar una tasa de conversión óptima.</w:t>
      </w:r>
    </w:p>
    <w:p w14:paraId="3F2B5114" w14:textId="77777777" w:rsidR="00D46046" w:rsidRPr="00D46046" w:rsidRDefault="00D46046" w:rsidP="00D46046">
      <w:pPr>
        <w:numPr>
          <w:ilvl w:val="0"/>
          <w:numId w:val="10"/>
        </w:numPr>
      </w:pPr>
      <w:r w:rsidRPr="00D46046">
        <w:rPr>
          <w:b/>
          <w:bCs/>
        </w:rPr>
        <w:t>Tarjetas de Eventos:</w:t>
      </w:r>
      <w:r w:rsidRPr="00D46046">
        <w:t xml:space="preserve"> Los contenedores de eventos activos emplean fondos semitransparentes sobre el Gris Carbón, con acentos en Lavanda Pálido para distinguir los detalles de fecha y ubicación.</w:t>
      </w:r>
    </w:p>
    <w:p w14:paraId="7BD24190" w14:textId="77777777" w:rsidR="00D46046" w:rsidRPr="00D46046" w:rsidRDefault="00D46046" w:rsidP="00D46046">
      <w:pPr>
        <w:rPr>
          <w:b/>
          <w:bCs/>
        </w:rPr>
      </w:pPr>
      <w:r w:rsidRPr="00D46046">
        <w:rPr>
          <w:b/>
          <w:bCs/>
        </w:rPr>
        <w:t>Paquete de Activos Entregables</w:t>
      </w:r>
    </w:p>
    <w:p w14:paraId="4C2A3556" w14:textId="77777777" w:rsidR="00D46046" w:rsidRPr="00D46046" w:rsidRDefault="00D46046" w:rsidP="00D46046">
      <w:r w:rsidRPr="00D46046">
        <w:rPr>
          <w:b/>
          <w:bCs/>
        </w:rPr>
        <w:t>Nota para el equipo de diseño y desarrollo:</w:t>
      </w:r>
      <w:r w:rsidRPr="00D46046">
        <w:t xml:space="preserve"> Los archivos fuente definitivos se encuentran empaquetados en el repositorio central bajo los siguientes formatos vectoriales escalables listos para producción:</w:t>
      </w:r>
    </w:p>
    <w:p w14:paraId="0A4D002F" w14:textId="77777777" w:rsidR="00D46046" w:rsidRPr="00D46046" w:rsidRDefault="00D46046" w:rsidP="00D46046">
      <w:pPr>
        <w:numPr>
          <w:ilvl w:val="0"/>
          <w:numId w:val="11"/>
        </w:numPr>
      </w:pPr>
      <w:r w:rsidRPr="00D46046">
        <w:t xml:space="preserve">vito_logo_master.ai (Archivo fuente Adobe </w:t>
      </w:r>
      <w:proofErr w:type="spellStart"/>
      <w:r w:rsidRPr="00D46046">
        <w:t>Illustrator</w:t>
      </w:r>
      <w:proofErr w:type="spellEnd"/>
      <w:r w:rsidRPr="00D46046">
        <w:t>)</w:t>
      </w:r>
    </w:p>
    <w:p w14:paraId="470CB9AE" w14:textId="77777777" w:rsidR="00D46046" w:rsidRPr="00D46046" w:rsidRDefault="00D46046" w:rsidP="00D46046">
      <w:pPr>
        <w:numPr>
          <w:ilvl w:val="0"/>
          <w:numId w:val="11"/>
        </w:numPr>
      </w:pPr>
      <w:proofErr w:type="spellStart"/>
      <w:r w:rsidRPr="00D46046">
        <w:t>vito_logo_vector.eps</w:t>
      </w:r>
      <w:proofErr w:type="spellEnd"/>
      <w:r w:rsidRPr="00D46046">
        <w:t xml:space="preserve"> (Formato vectorial universal)</w:t>
      </w:r>
    </w:p>
    <w:p w14:paraId="4E3C214D" w14:textId="77777777" w:rsidR="00D46046" w:rsidRPr="00D46046" w:rsidRDefault="00D46046" w:rsidP="00D46046">
      <w:pPr>
        <w:numPr>
          <w:ilvl w:val="0"/>
          <w:numId w:val="11"/>
        </w:numPr>
      </w:pPr>
      <w:proofErr w:type="spellStart"/>
      <w:r w:rsidRPr="00D46046">
        <w:t>vito_icon_mark.svg</w:t>
      </w:r>
      <w:proofErr w:type="spellEnd"/>
      <w:r w:rsidRPr="00D46046">
        <w:t xml:space="preserve"> (Isotipo optimizado para web y </w:t>
      </w:r>
      <w:proofErr w:type="gramStart"/>
      <w:r w:rsidRPr="00D46046">
        <w:t>app</w:t>
      </w:r>
      <w:proofErr w:type="gramEnd"/>
      <w:r w:rsidRPr="00D46046">
        <w:t>)</w:t>
      </w:r>
    </w:p>
    <w:p w14:paraId="73D65FAF" w14:textId="77777777" w:rsidR="00D46046" w:rsidRPr="00D46046" w:rsidRDefault="00D46046" w:rsidP="00D46046">
      <w:pPr>
        <w:numPr>
          <w:ilvl w:val="0"/>
          <w:numId w:val="11"/>
        </w:numPr>
      </w:pPr>
      <w:proofErr w:type="spellStart"/>
      <w:r w:rsidRPr="00D46046">
        <w:t>vito_palette_swatches.ase</w:t>
      </w:r>
      <w:proofErr w:type="spellEnd"/>
      <w:r w:rsidRPr="00D46046">
        <w:t xml:space="preserve"> (Intercambio de muestras de color para software de diseño)</w:t>
      </w:r>
    </w:p>
    <w:p w14:paraId="5F37F0FF" w14:textId="5113D77D" w:rsidR="003561F9" w:rsidRPr="00D46046" w:rsidRDefault="003561F9" w:rsidP="00D46046"/>
    <w:sectPr w:rsidR="003561F9" w:rsidRPr="00D460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0A5"/>
    <w:multiLevelType w:val="multilevel"/>
    <w:tmpl w:val="B270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4868"/>
    <w:multiLevelType w:val="multilevel"/>
    <w:tmpl w:val="F92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D6A01"/>
    <w:multiLevelType w:val="multilevel"/>
    <w:tmpl w:val="D00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4639D"/>
    <w:multiLevelType w:val="multilevel"/>
    <w:tmpl w:val="770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4698D"/>
    <w:multiLevelType w:val="multilevel"/>
    <w:tmpl w:val="33A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A4CBC"/>
    <w:multiLevelType w:val="multilevel"/>
    <w:tmpl w:val="3AD0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31D35"/>
    <w:multiLevelType w:val="multilevel"/>
    <w:tmpl w:val="543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86CC7"/>
    <w:multiLevelType w:val="multilevel"/>
    <w:tmpl w:val="BBD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B4DD4"/>
    <w:multiLevelType w:val="multilevel"/>
    <w:tmpl w:val="FFBC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0F7853"/>
    <w:multiLevelType w:val="multilevel"/>
    <w:tmpl w:val="ACC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01A9D"/>
    <w:multiLevelType w:val="multilevel"/>
    <w:tmpl w:val="3A3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43611">
    <w:abstractNumId w:val="1"/>
  </w:num>
  <w:num w:numId="2" w16cid:durableId="1798142124">
    <w:abstractNumId w:val="7"/>
  </w:num>
  <w:num w:numId="3" w16cid:durableId="378168492">
    <w:abstractNumId w:val="6"/>
  </w:num>
  <w:num w:numId="4" w16cid:durableId="62415201">
    <w:abstractNumId w:val="9"/>
  </w:num>
  <w:num w:numId="5" w16cid:durableId="252058574">
    <w:abstractNumId w:val="10"/>
  </w:num>
  <w:num w:numId="6" w16cid:durableId="573779416">
    <w:abstractNumId w:val="8"/>
  </w:num>
  <w:num w:numId="7" w16cid:durableId="836530374">
    <w:abstractNumId w:val="0"/>
  </w:num>
  <w:num w:numId="8" w16cid:durableId="533998866">
    <w:abstractNumId w:val="5"/>
  </w:num>
  <w:num w:numId="9" w16cid:durableId="682827391">
    <w:abstractNumId w:val="4"/>
  </w:num>
  <w:num w:numId="10" w16cid:durableId="578489148">
    <w:abstractNumId w:val="2"/>
  </w:num>
  <w:num w:numId="11" w16cid:durableId="685714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46"/>
    <w:rsid w:val="001E33B0"/>
    <w:rsid w:val="003561F9"/>
    <w:rsid w:val="0047294A"/>
    <w:rsid w:val="00C3748A"/>
    <w:rsid w:val="00D46046"/>
    <w:rsid w:val="00DC1884"/>
    <w:rsid w:val="00E3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F0AB"/>
  <w15:chartTrackingRefBased/>
  <w15:docId w15:val="{9BB3E34E-C1B4-4E4A-BDF6-3DBC53FA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0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0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0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0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0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0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0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0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0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0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941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villa restrepo</dc:creator>
  <cp:keywords/>
  <dc:description/>
  <cp:lastModifiedBy>alexander villa restrepo</cp:lastModifiedBy>
  <cp:revision>1</cp:revision>
  <dcterms:created xsi:type="dcterms:W3CDTF">2026-08-20T21:00:00Z</dcterms:created>
  <dcterms:modified xsi:type="dcterms:W3CDTF">2026-08-20T21:04:00Z</dcterms:modified>
</cp:coreProperties>
</file>