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D9" w:rsidRDefault="009F40D9">
      <w:pPr>
        <w:pStyle w:val="Standard"/>
        <w:jc w:val="center"/>
      </w:pP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860A65">
      <w:pPr>
        <w:pStyle w:val="Standard"/>
        <w:jc w:val="center"/>
      </w:pPr>
      <w:r>
        <w:rPr>
          <w:noProof/>
          <w:lang w:eastAsia="en-IN" w:bidi="ar-SA"/>
        </w:rPr>
        <w:drawing>
          <wp:inline distT="0" distB="0" distL="0" distR="0">
            <wp:extent cx="1638303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F40D9" w:rsidRDefault="009F40D9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9F40D9" w:rsidRDefault="007A53BB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for </w:t>
      </w:r>
      <w:r w:rsidR="00860A65">
        <w:rPr>
          <w:rFonts w:ascii="Calibri" w:hAnsi="Calibri"/>
          <w:b/>
          <w:bCs/>
          <w:color w:val="222222"/>
          <w:sz w:val="44"/>
          <w:szCs w:val="44"/>
        </w:rPr>
        <w:t>GENERATING CSR/KEY ON SERVER/ADC/AVX</w:t>
      </w:r>
    </w:p>
    <w:p w:rsidR="009F40D9" w:rsidRDefault="00860A65">
      <w:pPr>
        <w:pStyle w:val="Standard"/>
        <w:spacing w:line="360" w:lineRule="auto"/>
        <w:jc w:val="center"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rPr>
          <w:b/>
          <w:bCs/>
        </w:rPr>
      </w:pPr>
      <w:bookmarkStart w:id="0" w:name="_GoBack"/>
      <w:bookmarkEnd w:id="0"/>
    </w:p>
    <w:p w:rsidR="009F40D9" w:rsidRDefault="009F40D9">
      <w:pPr>
        <w:pStyle w:val="Standard"/>
        <w:rPr>
          <w:b/>
          <w:bCs/>
        </w:rPr>
      </w:pPr>
    </w:p>
    <w:tbl>
      <w:tblPr>
        <w:tblpPr w:leftFromText="180" w:rightFromText="180" w:vertAnchor="text" w:horzAnchor="margin" w:tblpY="361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6158C7" w:rsidTr="006158C7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6158C7" w:rsidTr="006158C7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Generating CSR/KEY on SERVER/ADC/AVX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25/01/2017</w:t>
            </w:r>
          </w:p>
        </w:tc>
      </w:tr>
      <w:tr w:rsidR="006158C7" w:rsidTr="006158C7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7A53BB" w:rsidP="006158C7">
            <w:pPr>
              <w:pStyle w:val="NormalWeb"/>
              <w:spacing w:after="0"/>
              <w:jc w:val="center"/>
            </w:pPr>
            <w:r w:rsidRPr="007A53BB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196946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6158C7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6158C7" w:rsidTr="006158C7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6158C7" w:rsidTr="006158C7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58C7" w:rsidRDefault="006158C7" w:rsidP="006158C7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9F40D9" w:rsidRDefault="009F40D9">
      <w:pPr>
        <w:pStyle w:val="Standard"/>
        <w:jc w:val="center"/>
        <w:rPr>
          <w:b/>
          <w:bCs/>
        </w:rPr>
      </w:pPr>
    </w:p>
    <w:p w:rsidR="006158C7" w:rsidRDefault="006158C7" w:rsidP="006158C7">
      <w:pPr>
        <w:pStyle w:val="Heading2"/>
        <w:widowControl/>
        <w:numPr>
          <w:ilvl w:val="0"/>
          <w:numId w:val="2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>Installation of the Template and Helper Script</w:t>
      </w:r>
    </w:p>
    <w:p w:rsidR="006158C7" w:rsidRDefault="006158C7" w:rsidP="006158C7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Login to AppViewX.</w:t>
      </w:r>
    </w:p>
    <w:p w:rsidR="006158C7" w:rsidRDefault="006158C7" w:rsidP="006158C7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6158C7" w:rsidRDefault="006158C7" w:rsidP="006158C7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4095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6158C7" w:rsidRDefault="006158C7" w:rsidP="006158C7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Theme="minorHAnsi" w:hAnsiTheme="minorHAnsi"/>
          <w:noProof/>
          <w:lang w:val="en-AU" w:eastAsia="en-IN"/>
        </w:rPr>
        <w:t xml:space="preserve"> </w:t>
      </w:r>
      <w:r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59340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8C7" w:rsidRDefault="005E6F87" w:rsidP="006158C7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6158C7">
        <w:rPr>
          <w:rFonts w:asciiTheme="minorHAnsi" w:hAnsiTheme="minorHAnsi"/>
          <w:noProof/>
          <w:sz w:val="22"/>
          <w:lang w:eastAsia="en-IN"/>
        </w:rPr>
        <w:t>lper Script.</w:t>
      </w:r>
      <w:r w:rsidR="006158C7">
        <w:rPr>
          <w:rFonts w:asciiTheme="minorHAnsi" w:hAnsiTheme="minorHAnsi"/>
          <w:noProof/>
          <w:lang w:eastAsia="en-IN"/>
        </w:rPr>
        <w:br/>
      </w:r>
      <w:r w:rsidR="006158C7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6158C7" w:rsidRDefault="006158C7" w:rsidP="006158C7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6158C7" w:rsidRDefault="006158C7" w:rsidP="006158C7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6158C7" w:rsidRDefault="006158C7" w:rsidP="006158C7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 w:rsidR="006158C7" w:rsidRDefault="006158C7" w:rsidP="006158C7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eastAsia="en-IN"/>
        </w:rPr>
      </w:pPr>
      <w:r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6158C7" w:rsidRDefault="006158C7" w:rsidP="006158C7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en-US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6158C7" w:rsidRDefault="006158C7" w:rsidP="006158C7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6158C7" w:rsidRDefault="006158C7" w:rsidP="006158C7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submit to deploy the Helper Scripts into the AppViewX Environment.</w:t>
      </w:r>
    </w:p>
    <w:p w:rsidR="009F40D9" w:rsidRDefault="009F40D9" w:rsidP="006158C7">
      <w:pPr>
        <w:pStyle w:val="Standard"/>
        <w:rPr>
          <w:b/>
          <w:bCs/>
        </w:rPr>
      </w:pPr>
    </w:p>
    <w:p w:rsidR="009F40D9" w:rsidRDefault="009F40D9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6158C7" w:rsidRDefault="006158C7">
      <w:pPr>
        <w:pStyle w:val="Standard"/>
        <w:jc w:val="center"/>
        <w:rPr>
          <w:b/>
          <w:bCs/>
        </w:rPr>
      </w:pPr>
    </w:p>
    <w:p w:rsidR="009F40D9" w:rsidRDefault="006158C7" w:rsidP="006158C7">
      <w:pPr>
        <w:pStyle w:val="Heading2"/>
        <w:numPr>
          <w:ilvl w:val="0"/>
          <w:numId w:val="2"/>
        </w:numPr>
      </w:pPr>
      <w:r>
        <w:rPr>
          <w:rStyle w:val="Emphasis"/>
          <w:rFonts w:ascii="Arial" w:hAnsi="Arial" w:cs="Arial"/>
          <w:sz w:val="28"/>
          <w:szCs w:val="28"/>
        </w:rPr>
        <w:lastRenderedPageBreak/>
        <w:t>Generating</w:t>
      </w:r>
      <w:r w:rsidR="00860A65">
        <w:rPr>
          <w:rStyle w:val="Emphasis"/>
          <w:rFonts w:ascii="Arial" w:hAnsi="Arial" w:cs="Arial"/>
          <w:sz w:val="28"/>
          <w:szCs w:val="28"/>
        </w:rPr>
        <w:t xml:space="preserve"> CSR/KEY </w:t>
      </w:r>
      <w:r>
        <w:rPr>
          <w:rStyle w:val="Emphasis"/>
          <w:rFonts w:ascii="Arial" w:hAnsi="Arial" w:cs="Arial"/>
          <w:sz w:val="28"/>
          <w:szCs w:val="28"/>
        </w:rPr>
        <w:t>on</w:t>
      </w:r>
      <w:r w:rsidR="00860A65">
        <w:rPr>
          <w:rStyle w:val="Emphasis"/>
          <w:rFonts w:ascii="Arial" w:hAnsi="Arial" w:cs="Arial"/>
          <w:sz w:val="28"/>
          <w:szCs w:val="28"/>
        </w:rPr>
        <w:t xml:space="preserve"> SERVER/ADC/AVX.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CSR and KEY Generator</w:t>
      </w:r>
      <w:r>
        <w:rPr>
          <w:rFonts w:ascii="Calibri" w:hAnsi="Calibri"/>
          <w:sz w:val="22"/>
          <w:szCs w:val="22"/>
          <w:lang w:val="en-AU"/>
        </w:rPr>
        <w:t>’</w:t>
      </w:r>
    </w:p>
    <w:p w:rsidR="009F40D9" w:rsidRDefault="00860A65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Generating CSR and Key</w:t>
      </w:r>
      <w:r>
        <w:rPr>
          <w:rFonts w:ascii="Calibri" w:hAnsi="Calibri"/>
          <w:sz w:val="22"/>
          <w:szCs w:val="22"/>
          <w:lang w:val="en-AU"/>
        </w:rPr>
        <w:t>’.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Enter the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‘Generating CSR and Key’.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option for which the CSR has to be generated on -</w:t>
      </w:r>
      <w:r>
        <w:rPr>
          <w:rFonts w:ascii="Calibri" w:hAnsi="Calibri"/>
          <w:b/>
          <w:bCs/>
          <w:sz w:val="22"/>
          <w:szCs w:val="22"/>
          <w:lang w:val="en-AU"/>
        </w:rPr>
        <w:t>AVX/ADC/Server.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Click on get servers/get devices to get a list of the servers/devices relevant to the option selected above.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Choose the </w:t>
      </w:r>
      <w:r>
        <w:rPr>
          <w:rFonts w:ascii="Calibri" w:hAnsi="Calibri"/>
          <w:b/>
          <w:bCs/>
          <w:sz w:val="22"/>
          <w:szCs w:val="22"/>
          <w:lang w:val="en-AU"/>
        </w:rPr>
        <w:t>AVX/Server/ADC</w:t>
      </w:r>
      <w:r>
        <w:rPr>
          <w:rFonts w:ascii="Calibri" w:hAnsi="Calibri"/>
          <w:sz w:val="22"/>
          <w:szCs w:val="22"/>
          <w:lang w:val="en-AU"/>
        </w:rPr>
        <w:t xml:space="preserve"> from the list populated.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name of the </w:t>
      </w:r>
      <w:r>
        <w:rPr>
          <w:rFonts w:ascii="Calibri" w:hAnsi="Calibri"/>
          <w:b/>
          <w:bCs/>
          <w:sz w:val="22"/>
          <w:szCs w:val="22"/>
          <w:lang w:val="en-AU"/>
        </w:rPr>
        <w:t>Country</w:t>
      </w:r>
      <w:r>
        <w:rPr>
          <w:rFonts w:ascii="Calibri" w:hAnsi="Calibri"/>
          <w:sz w:val="22"/>
          <w:szCs w:val="22"/>
          <w:lang w:val="en-AU"/>
        </w:rPr>
        <w:t xml:space="preserve"> in a two alphabet format.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‘IN’ (India).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name of the </w:t>
      </w:r>
      <w:r>
        <w:rPr>
          <w:rFonts w:ascii="Calibri" w:hAnsi="Calibri"/>
          <w:b/>
          <w:bCs/>
          <w:sz w:val="22"/>
          <w:szCs w:val="22"/>
          <w:lang w:val="en-AU"/>
        </w:rPr>
        <w:t>State</w:t>
      </w:r>
      <w:r>
        <w:rPr>
          <w:rFonts w:ascii="Calibri" w:hAnsi="Calibri"/>
          <w:sz w:val="22"/>
          <w:szCs w:val="22"/>
          <w:lang w:val="en-AU"/>
        </w:rPr>
        <w:t xml:space="preserve">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‘Tamil Nadu’.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name of the </w:t>
      </w:r>
      <w:r>
        <w:rPr>
          <w:rFonts w:ascii="Calibri" w:hAnsi="Calibri"/>
          <w:b/>
          <w:bCs/>
          <w:sz w:val="22"/>
          <w:szCs w:val="22"/>
          <w:lang w:val="en-AU"/>
        </w:rPr>
        <w:t>Locality</w:t>
      </w:r>
      <w:r>
        <w:rPr>
          <w:rFonts w:ascii="Calibri" w:hAnsi="Calibri"/>
          <w:sz w:val="22"/>
          <w:szCs w:val="22"/>
          <w:lang w:val="en-AU"/>
        </w:rPr>
        <w:t xml:space="preserve">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.:‘Coimbatore’.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name</w:t>
      </w:r>
      <w:r>
        <w:rPr>
          <w:rFonts w:ascii="Calibri" w:hAnsi="Calibri"/>
          <w:sz w:val="22"/>
          <w:szCs w:val="22"/>
          <w:lang w:val="en-AU"/>
        </w:rPr>
        <w:t xml:space="preserve"> of the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organisation</w:t>
      </w:r>
      <w:r>
        <w:rPr>
          <w:rFonts w:ascii="Calibri" w:hAnsi="Calibri"/>
          <w:sz w:val="22"/>
          <w:szCs w:val="22"/>
          <w:lang w:val="en-AU"/>
        </w:rPr>
        <w:t xml:space="preserve"> for which we are generating the CSR/KEY.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name</w:t>
      </w:r>
      <w:r>
        <w:rPr>
          <w:rFonts w:ascii="Calibri" w:hAnsi="Calibri"/>
          <w:sz w:val="22"/>
          <w:szCs w:val="22"/>
          <w:lang w:val="en-AU"/>
        </w:rPr>
        <w:t xml:space="preserve"> of the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organisation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unit</w:t>
      </w:r>
      <w:r>
        <w:rPr>
          <w:rFonts w:ascii="Calibri" w:hAnsi="Calibri"/>
          <w:sz w:val="22"/>
          <w:szCs w:val="22"/>
          <w:lang w:val="en-AU"/>
        </w:rPr>
        <w:t xml:space="preserve"> for which we are generating the CSR/KEY.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Common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Name</w:t>
      </w:r>
      <w:r>
        <w:rPr>
          <w:rFonts w:ascii="Calibri" w:hAnsi="Calibri"/>
          <w:sz w:val="22"/>
          <w:szCs w:val="22"/>
          <w:lang w:val="en-AU"/>
        </w:rPr>
        <w:t xml:space="preserve"> for which we are generating the CSR/KEY, It has to be in a FQDN format.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sz w:val="22"/>
          <w:szCs w:val="22"/>
          <w:lang w:val="en-AU"/>
        </w:rPr>
        <w:t>Size</w:t>
      </w:r>
      <w:r>
        <w:rPr>
          <w:rFonts w:ascii="Calibri" w:hAnsi="Calibri"/>
          <w:sz w:val="22"/>
          <w:szCs w:val="22"/>
          <w:lang w:val="en-AU"/>
        </w:rPr>
        <w:t xml:space="preserve"> of the KEY </w:t>
      </w:r>
      <w:r>
        <w:rPr>
          <w:rFonts w:ascii="Calibri" w:hAnsi="Calibri"/>
          <w:b/>
          <w:bCs/>
          <w:sz w:val="22"/>
          <w:szCs w:val="22"/>
          <w:lang w:val="en-AU"/>
        </w:rPr>
        <w:t>1024/2048 bits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sz w:val="22"/>
          <w:szCs w:val="22"/>
          <w:lang w:val="en-AU"/>
        </w:rPr>
        <w:t>Lifespan</w:t>
      </w:r>
      <w:r>
        <w:rPr>
          <w:rFonts w:ascii="Calibri" w:hAnsi="Calibri"/>
          <w:sz w:val="22"/>
          <w:szCs w:val="22"/>
          <w:lang w:val="en-AU"/>
        </w:rPr>
        <w:t xml:space="preserve"> of the KEY in </w:t>
      </w:r>
      <w:r>
        <w:rPr>
          <w:rFonts w:ascii="Calibri" w:hAnsi="Calibri"/>
          <w:i/>
          <w:iCs/>
          <w:sz w:val="22"/>
          <w:szCs w:val="22"/>
          <w:lang w:val="en-AU"/>
        </w:rPr>
        <w:t>years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Please select the option to avail CSR path.</w:t>
      </w:r>
      <w:r>
        <w:rPr>
          <w:rFonts w:ascii="Calibri" w:hAnsi="Calibri"/>
          <w:sz w:val="22"/>
          <w:szCs w:val="22"/>
          <w:lang w:val="en-AU"/>
        </w:rPr>
        <w:br/>
        <w:t>If YES is selected,</w:t>
      </w:r>
    </w:p>
    <w:p w:rsidR="009F40D9" w:rsidRDefault="00860A65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the CSR path.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.:‘/home/admin’/.</w:t>
      </w:r>
    </w:p>
    <w:p w:rsidR="009F40D9" w:rsidRDefault="00860A65">
      <w:pPr>
        <w:pStyle w:val="ListParagraph"/>
        <w:spacing w:line="360" w:lineRule="auto"/>
      </w:pPr>
      <w:r>
        <w:rPr>
          <w:rFonts w:ascii="Calibri" w:hAnsi="Calibri"/>
          <w:sz w:val="22"/>
          <w:szCs w:val="22"/>
          <w:lang w:val="en-AU"/>
        </w:rPr>
        <w:lastRenderedPageBreak/>
        <w:t>If No is selected, the default CSR path is selected.</w:t>
      </w:r>
    </w:p>
    <w:p w:rsidR="009F40D9" w:rsidRDefault="00860A65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color w:val="333333"/>
          <w:sz w:val="22"/>
          <w:szCs w:val="22"/>
          <w:lang w:val="en-AU"/>
        </w:rPr>
        <w:t>Submit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to generate work order(s) for the provisioning request.</w:t>
      </w:r>
    </w:p>
    <w:sectPr w:rsidR="009F40D9" w:rsidSect="00CE38FA">
      <w:footerReference w:type="default" r:id="rId11"/>
      <w:pgSz w:w="11906" w:h="16838"/>
      <w:pgMar w:top="113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77" w:rsidRDefault="00696E77">
      <w:r>
        <w:separator/>
      </w:r>
    </w:p>
  </w:endnote>
  <w:endnote w:type="continuationSeparator" w:id="0">
    <w:p w:rsidR="00696E77" w:rsidRDefault="0069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65" w:rsidRDefault="00860A65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8364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77" w:rsidRDefault="00696E77">
      <w:r>
        <w:rPr>
          <w:color w:val="000000"/>
        </w:rPr>
        <w:separator/>
      </w:r>
    </w:p>
  </w:footnote>
  <w:footnote w:type="continuationSeparator" w:id="0">
    <w:p w:rsidR="00696E77" w:rsidRDefault="0069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8081245"/>
    <w:multiLevelType w:val="multilevel"/>
    <w:tmpl w:val="26DC18AC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lowerLetter"/>
      <w:lvlText w:val="%3)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D9"/>
    <w:rsid w:val="00022DE9"/>
    <w:rsid w:val="000C1C84"/>
    <w:rsid w:val="000E6F0D"/>
    <w:rsid w:val="00196946"/>
    <w:rsid w:val="005C3DFB"/>
    <w:rsid w:val="005E6F87"/>
    <w:rsid w:val="006158C7"/>
    <w:rsid w:val="00696E77"/>
    <w:rsid w:val="007A53BB"/>
    <w:rsid w:val="00860A65"/>
    <w:rsid w:val="00895035"/>
    <w:rsid w:val="009F40D9"/>
    <w:rsid w:val="00B83649"/>
    <w:rsid w:val="00C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B1399-6F93-4538-885D-3B74E7B0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Calibri" w:hAnsi="Times New Roman" w:cs="Times New Roman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character" w:customStyle="1" w:styleId="NumberingSymbols">
    <w:name w:val="Numbering Symbols"/>
  </w:style>
  <w:style w:type="character" w:styleId="Emphasis">
    <w:name w:val="Emphasis"/>
    <w:uiPriority w:val="20"/>
    <w:qFormat/>
    <w:rPr>
      <w:caps/>
      <w:color w:val="1F4D78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10</cp:revision>
  <dcterms:created xsi:type="dcterms:W3CDTF">2017-02-13T08:52:00Z</dcterms:created>
  <dcterms:modified xsi:type="dcterms:W3CDTF">2017-02-14T12:37:00Z</dcterms:modified>
</cp:coreProperties>
</file>