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5A2C5D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38303" cy="342900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A4F83" w:rsidRDefault="004A4F83">
      <w:pPr>
        <w:pStyle w:val="Standard"/>
      </w:pPr>
    </w:p>
    <w:p w:rsidR="004A4F83" w:rsidRDefault="004A4F83">
      <w:pPr>
        <w:pStyle w:val="Standard"/>
      </w:pPr>
    </w:p>
    <w:p w:rsidR="004A4F83" w:rsidRDefault="00BA22F6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for </w:t>
      </w:r>
      <w:r w:rsidR="005A2C5D">
        <w:rPr>
          <w:rFonts w:ascii="Calibri" w:hAnsi="Calibri"/>
          <w:b/>
          <w:bCs/>
          <w:color w:val="222222"/>
          <w:sz w:val="44"/>
          <w:szCs w:val="44"/>
        </w:rPr>
        <w:t>MULTIPLE VIP Creation under Wide IP</w:t>
      </w:r>
    </w:p>
    <w:p w:rsidR="004A4F83" w:rsidRDefault="005A2C5D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322EE5" w:rsidRDefault="00322EE5" w:rsidP="00320630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4A4F83" w:rsidRDefault="004A4F83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tbl>
      <w:tblPr>
        <w:tblpPr w:leftFromText="180" w:rightFromText="180" w:vertAnchor="text" w:horzAnchor="margin" w:tblpY="94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322EE5" w:rsidTr="00322EE5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322EE5" w:rsidTr="00322EE5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creating Multiple VIPs under Wide IP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25/01/2017</w:t>
            </w:r>
          </w:p>
        </w:tc>
      </w:tr>
      <w:tr w:rsidR="00322EE5" w:rsidTr="00322EE5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0630" w:rsidP="00322EE5">
            <w:pPr>
              <w:pStyle w:val="NormalWeb"/>
              <w:spacing w:after="0"/>
              <w:jc w:val="center"/>
            </w:pPr>
            <w:r w:rsidRPr="00320630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866C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</w:t>
            </w:r>
            <w:r w:rsidR="003866C5">
              <w:rPr>
                <w:b/>
                <w:sz w:val="20"/>
                <w:szCs w:val="20"/>
                <w:lang w:eastAsia="en-IN"/>
              </w:rPr>
              <w:t>4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322EE5" w:rsidTr="00322EE5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322EE5" w:rsidTr="00322EE5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22EE5" w:rsidRDefault="00322EE5" w:rsidP="00322EE5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4A4F83" w:rsidRDefault="004A4F83">
      <w:pPr>
        <w:pStyle w:val="Standard"/>
        <w:jc w:val="center"/>
        <w:rPr>
          <w:b/>
          <w:bCs/>
        </w:rPr>
      </w:pPr>
    </w:p>
    <w:p w:rsidR="00322EE5" w:rsidRPr="00A019E5" w:rsidRDefault="00322EE5" w:rsidP="00322EE5">
      <w:pPr>
        <w:pStyle w:val="Heading2"/>
        <w:widowControl/>
        <w:numPr>
          <w:ilvl w:val="0"/>
          <w:numId w:val="2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autoSpaceDN/>
        <w:spacing w:before="0"/>
        <w:textAlignment w:val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Login to AppViewX.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 w:rsidRPr="00F23552"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 w:rsidRPr="00F23552">
        <w:rPr>
          <w:rFonts w:asciiTheme="minorHAnsi" w:hAnsiTheme="minorHAnsi"/>
          <w:sz w:val="22"/>
          <w:szCs w:val="22"/>
          <w:lang w:val="en-AU"/>
        </w:rPr>
        <w:t xml:space="preserve">; and click </w:t>
      </w:r>
      <w:r w:rsidRPr="00F23552"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 w:rsidRPr="00F23552"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 wp14:anchorId="42220737" wp14:editId="2E7B9004">
            <wp:extent cx="40957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552"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The following screen will appear.</w:t>
      </w:r>
      <w:r w:rsidRPr="00F23552">
        <w:rPr>
          <w:rFonts w:asciiTheme="minorHAnsi" w:hAnsiTheme="minorHAnsi"/>
          <w:noProof/>
          <w:lang w:val="en-IN" w:eastAsia="en-IN"/>
        </w:rPr>
        <w:t xml:space="preserve"> </w:t>
      </w:r>
      <w:r w:rsidRPr="00F23552"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 wp14:anchorId="5550A46C" wp14:editId="11C09B34">
            <wp:extent cx="593407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EE5" w:rsidRPr="00F23552" w:rsidRDefault="00106DD1" w:rsidP="00322EE5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val="en-IN" w:eastAsia="en-IN"/>
        </w:rPr>
        <w:t xml:space="preserve"> Please Select Template/He</w:t>
      </w:r>
      <w:r w:rsidR="00322EE5" w:rsidRPr="00F23552">
        <w:rPr>
          <w:rFonts w:asciiTheme="minorHAnsi" w:hAnsiTheme="minorHAnsi"/>
          <w:noProof/>
          <w:sz w:val="22"/>
          <w:lang w:val="en-IN" w:eastAsia="en-IN"/>
        </w:rPr>
        <w:t>lper Script.</w:t>
      </w:r>
      <w:r w:rsidR="00322EE5" w:rsidRPr="00F23552">
        <w:rPr>
          <w:rFonts w:asciiTheme="minorHAnsi" w:hAnsiTheme="minorHAnsi"/>
          <w:noProof/>
          <w:lang w:val="en-IN" w:eastAsia="en-IN"/>
        </w:rPr>
        <w:br/>
      </w:r>
      <w:r w:rsidR="00322EE5" w:rsidRPr="00F23552">
        <w:rPr>
          <w:rFonts w:asciiTheme="minorHAnsi" w:hAnsiTheme="minorHAnsi"/>
          <w:noProof/>
          <w:sz w:val="22"/>
          <w:lang w:val="en-IN" w:eastAsia="en-IN"/>
        </w:rPr>
        <w:t>If Template is chosen,</w:t>
      </w:r>
    </w:p>
    <w:p w:rsidR="00322EE5" w:rsidRPr="00F23552" w:rsidRDefault="00322EE5" w:rsidP="00322EE5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F23552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F23552"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322EE5" w:rsidRPr="00F23552" w:rsidRDefault="00322EE5" w:rsidP="00322EE5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322EE5" w:rsidRPr="00F23552" w:rsidRDefault="00322EE5" w:rsidP="00322EE5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 w:rsidR="00322EE5" w:rsidRPr="00F23552" w:rsidRDefault="00322EE5" w:rsidP="00322EE5">
      <w:pPr>
        <w:spacing w:line="360" w:lineRule="auto"/>
        <w:ind w:firstLine="567"/>
        <w:rPr>
          <w:rFonts w:asciiTheme="minorHAnsi" w:hAnsiTheme="minorHAnsi"/>
          <w:noProof/>
          <w:sz w:val="22"/>
          <w:lang w:val="en-IN" w:eastAsia="en-IN"/>
        </w:rPr>
      </w:pPr>
      <w:r w:rsidRPr="00F23552">
        <w:rPr>
          <w:rFonts w:asciiTheme="minorHAnsi" w:hAnsiTheme="minorHAnsi"/>
          <w:noProof/>
          <w:sz w:val="22"/>
          <w:lang w:val="en-IN" w:eastAsia="en-IN"/>
        </w:rPr>
        <w:t>If Helper Script is chosen,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F23552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F23552"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322EE5" w:rsidRPr="00F23552" w:rsidRDefault="00322EE5" w:rsidP="00322EE5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F23552">
        <w:rPr>
          <w:rFonts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 w:rsidR="004A4F83" w:rsidRDefault="004A4F83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B6078D" w:rsidRDefault="00B6078D" w:rsidP="00322EE5">
      <w:pPr>
        <w:pStyle w:val="Standard"/>
        <w:rPr>
          <w:b/>
          <w:bCs/>
        </w:rPr>
      </w:pPr>
    </w:p>
    <w:p w:rsidR="004A4F83" w:rsidRDefault="004A4F83">
      <w:pPr>
        <w:pStyle w:val="Standard"/>
        <w:jc w:val="center"/>
        <w:rPr>
          <w:b/>
          <w:bCs/>
        </w:rPr>
      </w:pPr>
    </w:p>
    <w:p w:rsidR="004A4F83" w:rsidRDefault="00322EE5">
      <w:pPr>
        <w:pStyle w:val="Heading2"/>
      </w:pPr>
      <w:r>
        <w:rPr>
          <w:rStyle w:val="Emphasis"/>
          <w:rFonts w:ascii="Arial" w:hAnsi="Arial" w:cs="Arial"/>
          <w:sz w:val="28"/>
          <w:szCs w:val="28"/>
        </w:rPr>
        <w:lastRenderedPageBreak/>
        <w:t>2</w:t>
      </w:r>
      <w:r w:rsidR="00F053F9">
        <w:rPr>
          <w:rStyle w:val="Emphasis"/>
          <w:rFonts w:ascii="Arial" w:hAnsi="Arial" w:cs="Arial"/>
          <w:sz w:val="28"/>
          <w:szCs w:val="28"/>
        </w:rPr>
        <w:t>. Creating</w:t>
      </w:r>
      <w:r w:rsidR="005A2C5D">
        <w:rPr>
          <w:rStyle w:val="Emphasis"/>
          <w:rFonts w:ascii="Arial" w:hAnsi="Arial" w:cs="Arial"/>
          <w:sz w:val="28"/>
          <w:szCs w:val="28"/>
        </w:rPr>
        <w:t xml:space="preserve"> MULTIPLE VIP UNDER WIDE IP.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Create_Multiple_VIP_WIP</w:t>
      </w:r>
      <w:r>
        <w:rPr>
          <w:rFonts w:ascii="Calibri" w:hAnsi="Calibri"/>
          <w:sz w:val="22"/>
          <w:szCs w:val="22"/>
          <w:lang w:val="en-AU"/>
        </w:rPr>
        <w:t>’</w:t>
      </w:r>
    </w:p>
    <w:p w:rsidR="004A4F83" w:rsidRDefault="005A2C5D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Creating Multiple VIP under WIP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.:‘Multiple VIP under WIP’.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Data Centers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3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data center.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Device Groups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4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Device group.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Devices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5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Device.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 Relevant pool name in the </w:t>
      </w:r>
      <w:r>
        <w:rPr>
          <w:rFonts w:ascii="Calibri" w:hAnsi="Calibri"/>
          <w:b/>
          <w:bCs/>
          <w:sz w:val="22"/>
          <w:szCs w:val="22"/>
          <w:lang w:val="en-AU"/>
        </w:rPr>
        <w:t>Pool Name</w:t>
      </w:r>
      <w:r>
        <w:rPr>
          <w:rFonts w:ascii="Calibri" w:hAnsi="Calibri"/>
          <w:sz w:val="22"/>
          <w:szCs w:val="22"/>
          <w:lang w:val="en-AU"/>
        </w:rPr>
        <w:t xml:space="preserve"> field.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Pool Name</w:t>
      </w:r>
      <w:r>
        <w:rPr>
          <w:rFonts w:ascii="Calibri" w:hAnsi="Calibri"/>
          <w:b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field, Please enter a Relevant Pool name.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Pool Member IP</w:t>
      </w:r>
      <w:r>
        <w:rPr>
          <w:rFonts w:ascii="Calibri" w:hAnsi="Calibri"/>
          <w:sz w:val="22"/>
          <w:szCs w:val="22"/>
          <w:lang w:val="en-AU"/>
        </w:rPr>
        <w:t xml:space="preserve"> field, enter the Pool Member IP which will be associated with the virtual server.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Pool Member PORT</w:t>
      </w:r>
      <w:r>
        <w:rPr>
          <w:rFonts w:ascii="Calibri" w:hAnsi="Calibri"/>
          <w:sz w:val="22"/>
          <w:szCs w:val="22"/>
          <w:lang w:val="en-AU"/>
        </w:rPr>
        <w:t xml:space="preserve"> field, enter the Pool Member PORT which will be associated with the virtual server.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6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 xml:space="preserve">Button to add the </w:t>
      </w:r>
      <w:r>
        <w:rPr>
          <w:rFonts w:ascii="Calibri" w:hAnsi="Calibri"/>
          <w:i/>
          <w:iCs/>
          <w:sz w:val="22"/>
          <w:szCs w:val="22"/>
          <w:lang w:val="en-AU"/>
        </w:rPr>
        <w:t>Pool</w:t>
      </w:r>
      <w:r>
        <w:rPr>
          <w:rFonts w:ascii="Calibri" w:hAnsi="Calibri"/>
          <w:sz w:val="22"/>
          <w:szCs w:val="22"/>
          <w:lang w:val="en-AU"/>
        </w:rPr>
        <w:t xml:space="preserve"> with the Pool Member </w:t>
      </w:r>
      <w:r>
        <w:rPr>
          <w:rFonts w:ascii="Calibri" w:hAnsi="Calibri"/>
          <w:i/>
          <w:iCs/>
          <w:sz w:val="22"/>
          <w:szCs w:val="22"/>
          <w:lang w:val="en-AU"/>
        </w:rPr>
        <w:t>IP</w:t>
      </w:r>
      <w:r>
        <w:rPr>
          <w:rFonts w:ascii="Calibri" w:hAnsi="Calibri"/>
          <w:sz w:val="22"/>
          <w:szCs w:val="22"/>
          <w:lang w:val="en-AU"/>
        </w:rPr>
        <w:t xml:space="preserve"> and </w:t>
      </w:r>
      <w:r>
        <w:rPr>
          <w:rFonts w:ascii="Calibri" w:hAnsi="Calibri"/>
          <w:i/>
          <w:iCs/>
          <w:sz w:val="22"/>
          <w:szCs w:val="22"/>
          <w:lang w:val="en-AU"/>
        </w:rPr>
        <w:t>Port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Multiple pool members can be created at the same time under the same Pool name by entering their respective Pool member IPs and PORTs.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Multiple VIPs can be created by creating another Pool by following the above steps (11-15).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lastRenderedPageBreak/>
        <w:t>Please choose the option using an existing monitor (No/Yes).</w:t>
      </w:r>
    </w:p>
    <w:p w:rsidR="004A4F83" w:rsidRDefault="005A2C5D">
      <w:pPr>
        <w:pStyle w:val="ListParagraph"/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sz w:val="22"/>
          <w:szCs w:val="22"/>
          <w:lang w:val="en-AU"/>
        </w:rPr>
        <w:t>YES</w:t>
      </w:r>
      <w:r>
        <w:rPr>
          <w:rFonts w:ascii="Calibri" w:hAnsi="Calibri"/>
          <w:sz w:val="22"/>
          <w:szCs w:val="22"/>
          <w:lang w:val="en-AU"/>
        </w:rPr>
        <w:t xml:space="preserve"> is selected,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i/>
          <w:iCs/>
          <w:sz w:val="22"/>
          <w:szCs w:val="22"/>
          <w:lang w:val="en-AU"/>
        </w:rPr>
        <w:t>Existing Monitors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7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Monitor.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i/>
          <w:iCs/>
          <w:sz w:val="22"/>
          <w:szCs w:val="22"/>
          <w:lang w:val="en-AU"/>
        </w:rPr>
        <w:t>Pools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8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pool to associate with the monitor.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9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to add the existing monitor with the pool associated with it.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This can be done for multiple Pools.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choose the option of </w:t>
      </w:r>
      <w:r>
        <w:rPr>
          <w:rFonts w:ascii="Calibri" w:hAnsi="Calibri"/>
          <w:i/>
          <w:iCs/>
          <w:sz w:val="22"/>
          <w:szCs w:val="22"/>
          <w:lang w:val="en-AU"/>
        </w:rPr>
        <w:t>creating</w:t>
      </w:r>
      <w:r>
        <w:rPr>
          <w:rFonts w:ascii="Calibri" w:hAnsi="Calibri"/>
          <w:sz w:val="22"/>
          <w:szCs w:val="22"/>
          <w:lang w:val="en-AU"/>
        </w:rPr>
        <w:t xml:space="preserve"> a new Monitor (No/Yes).</w:t>
      </w:r>
      <w:r>
        <w:rPr>
          <w:rFonts w:ascii="Calibri" w:hAnsi="Calibri"/>
          <w:sz w:val="22"/>
          <w:szCs w:val="22"/>
          <w:lang w:val="en-AU"/>
        </w:rPr>
        <w:br/>
        <w:t xml:space="preserve">If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YES </w:t>
      </w:r>
      <w:r>
        <w:rPr>
          <w:rFonts w:ascii="Calibri" w:hAnsi="Calibri"/>
          <w:sz w:val="22"/>
          <w:szCs w:val="22"/>
          <w:lang w:val="en-AU"/>
        </w:rPr>
        <w:t>is selected,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</w:t>
      </w:r>
      <w:r>
        <w:rPr>
          <w:rFonts w:ascii="Calibri" w:hAnsi="Calibri"/>
          <w:i/>
          <w:iCs/>
          <w:sz w:val="22"/>
          <w:szCs w:val="22"/>
          <w:lang w:val="en-AU"/>
        </w:rPr>
        <w:t>required type</w:t>
      </w:r>
      <w:r>
        <w:rPr>
          <w:rFonts w:ascii="Calibri" w:hAnsi="Calibri"/>
          <w:sz w:val="22"/>
          <w:szCs w:val="22"/>
          <w:lang w:val="en-AU"/>
        </w:rPr>
        <w:t xml:space="preserve"> of </w:t>
      </w:r>
      <w:r>
        <w:rPr>
          <w:rFonts w:ascii="Calibri" w:hAnsi="Calibri"/>
          <w:b/>
          <w:bCs/>
          <w:sz w:val="22"/>
          <w:szCs w:val="22"/>
          <w:lang w:val="en-AU"/>
        </w:rPr>
        <w:t>Monitor</w:t>
      </w:r>
      <w:r>
        <w:rPr>
          <w:rFonts w:ascii="Calibri" w:hAnsi="Calibri"/>
          <w:sz w:val="22"/>
          <w:szCs w:val="22"/>
          <w:lang w:val="en-AU"/>
        </w:rPr>
        <w:t xml:space="preserve"> from the populated list.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iCs/>
          <w:sz w:val="22"/>
          <w:szCs w:val="22"/>
          <w:lang w:val="en-AU"/>
        </w:rPr>
        <w:t>interval</w:t>
      </w:r>
      <w:r>
        <w:rPr>
          <w:rFonts w:ascii="Calibri" w:hAnsi="Calibri"/>
          <w:sz w:val="22"/>
          <w:szCs w:val="22"/>
          <w:lang w:val="en-AU"/>
        </w:rPr>
        <w:t xml:space="preserve"> of the </w:t>
      </w:r>
      <w:r>
        <w:rPr>
          <w:rFonts w:ascii="Calibri" w:hAnsi="Calibri"/>
          <w:b/>
          <w:bCs/>
          <w:sz w:val="22"/>
          <w:szCs w:val="22"/>
          <w:lang w:val="en-AU"/>
        </w:rPr>
        <w:t>Monitor</w:t>
      </w:r>
      <w:r>
        <w:rPr>
          <w:rFonts w:ascii="Calibri" w:hAnsi="Calibri"/>
          <w:sz w:val="22"/>
          <w:szCs w:val="22"/>
          <w:lang w:val="en-AU"/>
        </w:rPr>
        <w:t xml:space="preserve"> in the interval field</w:t>
      </w:r>
      <w:r>
        <w:rPr>
          <w:rFonts w:ascii="Calibri" w:hAnsi="Calibri"/>
          <w:b/>
          <w:bCs/>
          <w:sz w:val="22"/>
          <w:szCs w:val="22"/>
          <w:lang w:val="en-AU"/>
        </w:rPr>
        <w:t>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iCs/>
          <w:sz w:val="22"/>
          <w:szCs w:val="22"/>
          <w:lang w:val="en-AU"/>
        </w:rPr>
        <w:t>Time out</w:t>
      </w:r>
      <w:r>
        <w:rPr>
          <w:rFonts w:ascii="Calibri" w:hAnsi="Calibri"/>
          <w:sz w:val="22"/>
          <w:szCs w:val="22"/>
          <w:lang w:val="en-AU"/>
        </w:rPr>
        <w:t xml:space="preserve"> value for the monitor in the time out field.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Please enter a relevant Send String and Receive string in the respective fields.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10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to create the new monitor.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 relevant </w:t>
      </w:r>
      <w:r>
        <w:rPr>
          <w:rFonts w:ascii="Calibri" w:hAnsi="Calibri"/>
          <w:b/>
          <w:bCs/>
          <w:sz w:val="22"/>
          <w:szCs w:val="22"/>
          <w:lang w:val="en-AU"/>
        </w:rPr>
        <w:t>FQDN</w:t>
      </w:r>
      <w:r>
        <w:rPr>
          <w:rFonts w:ascii="Calibri" w:hAnsi="Calibri"/>
          <w:sz w:val="22"/>
          <w:szCs w:val="22"/>
          <w:lang w:val="en-AU"/>
        </w:rPr>
        <w:t xml:space="preserve"> (Fully qualified domain name) in the </w:t>
      </w:r>
      <w:r>
        <w:rPr>
          <w:rFonts w:ascii="Calibri" w:hAnsi="Calibri"/>
          <w:i/>
          <w:iCs/>
          <w:sz w:val="22"/>
          <w:szCs w:val="22"/>
          <w:lang w:val="en-AU"/>
        </w:rPr>
        <w:t>FQDN</w:t>
      </w:r>
      <w:r>
        <w:rPr>
          <w:rFonts w:ascii="Calibri" w:hAnsi="Calibri"/>
          <w:sz w:val="22"/>
          <w:szCs w:val="22"/>
          <w:lang w:val="en-AU"/>
        </w:rPr>
        <w:t xml:space="preserve"> field.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</w:t>
      </w:r>
      <w:hyperlink r:id="rId13" w:history="1">
        <w:r>
          <w:rPr>
            <w:rFonts w:ascii="Calibri" w:hAnsi="Calibri"/>
            <w:sz w:val="22"/>
            <w:szCs w:val="22"/>
            <w:lang w:val="en-AU"/>
          </w:rPr>
          <w:t>www.xyz.com</w:t>
        </w:r>
      </w:hyperlink>
      <w:r>
        <w:rPr>
          <w:rFonts w:ascii="Calibri" w:hAnsi="Calibri"/>
          <w:sz w:val="22"/>
          <w:szCs w:val="22"/>
          <w:lang w:val="en-AU"/>
        </w:rPr>
        <w:t>’.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VS (Virtual Server) Name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11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 The Virtual Server name will be generated accordingly to the entered FQDN.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VS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Description </w:t>
      </w:r>
      <w:r>
        <w:rPr>
          <w:rFonts w:ascii="Calibri" w:hAnsi="Calibri"/>
          <w:sz w:val="22"/>
          <w:szCs w:val="22"/>
          <w:lang w:val="en-AU"/>
        </w:rPr>
        <w:t xml:space="preserve">field, enter the </w:t>
      </w:r>
      <w:r>
        <w:rPr>
          <w:rFonts w:ascii="Calibri" w:hAnsi="Calibri"/>
          <w:color w:val="000000"/>
          <w:sz w:val="22"/>
          <w:szCs w:val="22"/>
          <w:lang w:val="en-AU"/>
        </w:rPr>
        <w:t>description of the Virtual Server. Type in any helpful details about the VS.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000000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iCs/>
          <w:color w:val="000000"/>
          <w:sz w:val="22"/>
          <w:szCs w:val="22"/>
          <w:lang w:val="en-AU"/>
        </w:rPr>
        <w:t>Virtual server IP</w:t>
      </w:r>
      <w:r>
        <w:rPr>
          <w:rFonts w:ascii="Calibri" w:hAnsi="Calibri"/>
          <w:color w:val="000000"/>
          <w:sz w:val="22"/>
          <w:szCs w:val="22"/>
          <w:lang w:val="en-AU"/>
        </w:rPr>
        <w:t xml:space="preserve"> and </w:t>
      </w:r>
      <w:r>
        <w:rPr>
          <w:rFonts w:ascii="Calibri" w:hAnsi="Calibri"/>
          <w:i/>
          <w:iCs/>
          <w:color w:val="000000"/>
          <w:sz w:val="22"/>
          <w:szCs w:val="22"/>
          <w:lang w:val="en-AU"/>
        </w:rPr>
        <w:t>Virtual Server Port</w:t>
      </w:r>
      <w:r>
        <w:rPr>
          <w:rFonts w:ascii="Calibri" w:hAnsi="Calibri"/>
          <w:color w:val="000000"/>
          <w:sz w:val="22"/>
          <w:szCs w:val="22"/>
          <w:lang w:val="en-AU"/>
        </w:rPr>
        <w:t xml:space="preserve"> in their respective fields.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i/>
          <w:iCs/>
          <w:sz w:val="22"/>
          <w:szCs w:val="22"/>
          <w:lang w:val="en-AU"/>
        </w:rPr>
        <w:t>VS Pools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2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VS Pool.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lastRenderedPageBreak/>
        <w:t>Select the required protocol from the populated list.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1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 xml:space="preserve">Button to create the </w:t>
      </w:r>
      <w:r>
        <w:rPr>
          <w:rFonts w:ascii="Calibri" w:hAnsi="Calibri"/>
          <w:b/>
          <w:bCs/>
          <w:sz w:val="22"/>
          <w:szCs w:val="22"/>
          <w:lang w:val="en-AU"/>
        </w:rPr>
        <w:t>Virtual Server.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Many Virtual Servers under the same FQDN can be created by following steps (19-25).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Many Virtual Servers under a different FQDN can be created by following steps (19-25) and entering a different FQDN.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Wide IP Devices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4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Device.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>Wide IP Device's</w:t>
      </w:r>
      <w:r>
        <w:rPr>
          <w:rFonts w:ascii="Calibri" w:hAnsi="Calibri"/>
          <w:sz w:val="22"/>
          <w:szCs w:val="22"/>
          <w:lang w:val="en-AU"/>
        </w:rPr>
        <w:t xml:space="preserve"> available </w:t>
      </w:r>
      <w:r>
        <w:rPr>
          <w:rFonts w:ascii="Calibri" w:hAnsi="Calibri"/>
          <w:b/>
          <w:bCs/>
          <w:sz w:val="22"/>
          <w:szCs w:val="22"/>
          <w:lang w:val="en-AU"/>
        </w:rPr>
        <w:t>Data Centres</w:t>
      </w:r>
      <w:r>
        <w:rPr>
          <w:rFonts w:ascii="Calibri" w:hAnsi="Calibri"/>
          <w:sz w:val="22"/>
          <w:szCs w:val="22"/>
          <w:lang w:val="en-AU"/>
        </w:rPr>
        <w:t xml:space="preserve">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and select the required Data Centre.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 relevant </w:t>
      </w:r>
      <w:r>
        <w:rPr>
          <w:rFonts w:ascii="Calibri" w:hAnsi="Calibri"/>
          <w:b/>
          <w:bCs/>
          <w:sz w:val="22"/>
          <w:szCs w:val="22"/>
          <w:lang w:val="en-AU"/>
        </w:rPr>
        <w:t>Wide IP FQDN</w:t>
      </w:r>
      <w:r>
        <w:rPr>
          <w:rFonts w:ascii="Calibri" w:hAnsi="Calibri"/>
          <w:sz w:val="22"/>
          <w:szCs w:val="22"/>
          <w:lang w:val="en-AU"/>
        </w:rPr>
        <w:t xml:space="preserve">(Fully qualified domain name) in the </w:t>
      </w:r>
      <w:r>
        <w:rPr>
          <w:rFonts w:ascii="Calibri" w:hAnsi="Calibri"/>
          <w:i/>
          <w:iCs/>
          <w:sz w:val="22"/>
          <w:szCs w:val="22"/>
          <w:lang w:val="en-AU"/>
        </w:rPr>
        <w:t>Wide IP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FQDN</w:t>
      </w:r>
      <w:r>
        <w:rPr>
          <w:rFonts w:ascii="Calibri" w:hAnsi="Calibri"/>
          <w:sz w:val="22"/>
          <w:szCs w:val="22"/>
          <w:lang w:val="en-AU"/>
        </w:rPr>
        <w:t xml:space="preserve"> field.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</w:t>
      </w:r>
      <w:hyperlink r:id="rId14" w:history="1">
        <w:r>
          <w:rPr>
            <w:rFonts w:ascii="Calibri" w:hAnsi="Calibri"/>
            <w:sz w:val="22"/>
            <w:szCs w:val="22"/>
            <w:lang w:val="en-AU"/>
          </w:rPr>
          <w:t>www.</w:t>
        </w:r>
      </w:hyperlink>
      <w:hyperlink r:id="rId15" w:history="1">
        <w:r>
          <w:rPr>
            <w:rFonts w:ascii="Calibri" w:hAnsi="Calibri"/>
            <w:sz w:val="22"/>
            <w:szCs w:val="22"/>
            <w:lang w:val="en-AU"/>
          </w:rPr>
          <w:t>zyx</w:t>
        </w:r>
      </w:hyperlink>
      <w:hyperlink r:id="rId16" w:history="1">
        <w:r>
          <w:rPr>
            <w:rFonts w:ascii="Calibri" w:hAnsi="Calibri"/>
            <w:sz w:val="22"/>
            <w:szCs w:val="22"/>
            <w:lang w:val="en-AU"/>
          </w:rPr>
          <w:t>.com</w:t>
        </w:r>
      </w:hyperlink>
      <w:r>
        <w:rPr>
          <w:rFonts w:ascii="Calibri" w:hAnsi="Calibri"/>
          <w:sz w:val="22"/>
          <w:szCs w:val="22"/>
          <w:lang w:val="en-AU"/>
        </w:rPr>
        <w:t>’.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Wide IP Name </w:t>
      </w:r>
      <w:r>
        <w:rPr>
          <w:rFonts w:ascii="Calibri" w:hAnsi="Calibri"/>
          <w:sz w:val="22"/>
          <w:szCs w:val="22"/>
          <w:lang w:val="en-AU"/>
        </w:rPr>
        <w:t>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6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 The Wide IP name will be generated accordingly to the entered Wide IP FQDN.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an </w:t>
      </w:r>
      <w:r>
        <w:rPr>
          <w:rFonts w:ascii="Calibri" w:hAnsi="Calibri"/>
          <w:b/>
          <w:bCs/>
          <w:sz w:val="22"/>
          <w:szCs w:val="22"/>
          <w:lang w:val="en-AU"/>
        </w:rPr>
        <w:t>Alias Name</w:t>
      </w:r>
      <w:r>
        <w:rPr>
          <w:rFonts w:ascii="Calibri" w:hAnsi="Calibri"/>
          <w:sz w:val="22"/>
          <w:szCs w:val="22"/>
          <w:lang w:val="en-AU"/>
        </w:rPr>
        <w:t xml:space="preserve"> for the GTM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</w:t>
      </w:r>
      <w:hyperlink r:id="rId17" w:history="1">
        <w:r>
          <w:rPr>
            <w:rFonts w:ascii="Calibri" w:hAnsi="Calibri"/>
            <w:sz w:val="22"/>
            <w:szCs w:val="22"/>
            <w:lang w:val="en-AU"/>
          </w:rPr>
          <w:t>www.</w:t>
        </w:r>
      </w:hyperlink>
      <w:hyperlink r:id="rId18" w:history="1">
        <w:r>
          <w:rPr>
            <w:rFonts w:ascii="Calibri" w:hAnsi="Calibri"/>
            <w:sz w:val="22"/>
            <w:szCs w:val="22"/>
            <w:lang w:val="en-AU"/>
          </w:rPr>
          <w:t>gtmalias</w:t>
        </w:r>
      </w:hyperlink>
      <w:hyperlink r:id="rId19" w:history="1">
        <w:r>
          <w:rPr>
            <w:rFonts w:ascii="Calibri" w:hAnsi="Calibri"/>
            <w:sz w:val="22"/>
            <w:szCs w:val="22"/>
            <w:lang w:val="en-AU"/>
          </w:rPr>
          <w:t>.com</w:t>
        </w:r>
      </w:hyperlink>
      <w:r>
        <w:rPr>
          <w:rFonts w:ascii="Calibri" w:hAnsi="Calibri"/>
          <w:sz w:val="22"/>
          <w:szCs w:val="22"/>
          <w:lang w:val="en-AU"/>
        </w:rPr>
        <w:t>’.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Wide IP Pool Name </w:t>
      </w:r>
      <w:r>
        <w:rPr>
          <w:rFonts w:ascii="Calibri" w:hAnsi="Calibri"/>
          <w:sz w:val="22"/>
          <w:szCs w:val="22"/>
          <w:lang w:val="en-AU"/>
        </w:rPr>
        <w:t>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17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required </w:t>
      </w:r>
      <w:r>
        <w:rPr>
          <w:rFonts w:ascii="Calibri" w:hAnsi="Calibri"/>
          <w:b/>
          <w:bCs/>
          <w:sz w:val="22"/>
          <w:szCs w:val="22"/>
          <w:lang w:val="en-AU"/>
        </w:rPr>
        <w:t>LB</w:t>
      </w:r>
      <w:r>
        <w:rPr>
          <w:rFonts w:ascii="Calibri" w:hAnsi="Calibri"/>
          <w:sz w:val="22"/>
          <w:szCs w:val="22"/>
          <w:lang w:val="en-AU"/>
        </w:rPr>
        <w:t xml:space="preserve"> (Load balancing) method from the list of load balancing methods populated.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Preferred</w:t>
      </w:r>
      <w:r>
        <w:rPr>
          <w:rFonts w:ascii="Calibri" w:hAnsi="Calibri"/>
          <w:sz w:val="22"/>
          <w:szCs w:val="22"/>
          <w:lang w:val="en-AU"/>
        </w:rPr>
        <w:t xml:space="preserve"> LB method from the list of load balancing methods populated.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Alternate</w:t>
      </w:r>
      <w:r>
        <w:rPr>
          <w:rFonts w:ascii="Calibri" w:hAnsi="Calibri"/>
          <w:sz w:val="22"/>
          <w:szCs w:val="22"/>
          <w:lang w:val="en-AU"/>
        </w:rPr>
        <w:t xml:space="preserve"> LB method from the list of load balancing methods populated.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Fallback</w:t>
      </w:r>
      <w:r>
        <w:rPr>
          <w:rFonts w:ascii="Calibri" w:hAnsi="Calibri"/>
          <w:sz w:val="22"/>
          <w:szCs w:val="22"/>
          <w:lang w:val="en-AU"/>
        </w:rPr>
        <w:t xml:space="preserve"> LB method from the list of load balancing methods populated.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Please Select the Wide IP Pool Members from these options – Generic Host or VIP.</w:t>
      </w:r>
      <w:r>
        <w:rPr>
          <w:rFonts w:ascii="Calibri" w:hAnsi="Calibri"/>
          <w:sz w:val="22"/>
          <w:szCs w:val="22"/>
          <w:lang w:val="en-AU"/>
        </w:rPr>
        <w:br/>
        <w:t>If Generic Host is selected,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Enter the Generic host IP.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Generic host Port.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lastRenderedPageBreak/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18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>Button to add the Wide IP Pool Member.</w:t>
      </w:r>
    </w:p>
    <w:p w:rsidR="004A4F83" w:rsidRDefault="005A2C5D">
      <w:pPr>
        <w:pStyle w:val="ListParagraph"/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If VIP is selected,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VIPs from the populated list.</w:t>
      </w:r>
    </w:p>
    <w:p w:rsidR="004A4F83" w:rsidRDefault="005A2C5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19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 to add the Wide IP Pool Member.</w:t>
      </w:r>
    </w:p>
    <w:p w:rsidR="004A4F83" w:rsidRDefault="005A2C5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sectPr w:rsidR="004A4F83">
      <w:footerReference w:type="default" r:id="rId2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674" w:rsidRDefault="00785674">
      <w:r>
        <w:separator/>
      </w:r>
    </w:p>
  </w:endnote>
  <w:endnote w:type="continuationSeparator" w:id="0">
    <w:p w:rsidR="00785674" w:rsidRDefault="0078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4D" w:rsidRDefault="005A2C5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866C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674" w:rsidRDefault="00785674">
      <w:r>
        <w:rPr>
          <w:color w:val="000000"/>
        </w:rPr>
        <w:separator/>
      </w:r>
    </w:p>
  </w:footnote>
  <w:footnote w:type="continuationSeparator" w:id="0">
    <w:p w:rsidR="00785674" w:rsidRDefault="00785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5F3F34"/>
    <w:multiLevelType w:val="multilevel"/>
    <w:tmpl w:val="ECF047A4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83"/>
    <w:rsid w:val="000F4660"/>
    <w:rsid w:val="00106DD1"/>
    <w:rsid w:val="001759EE"/>
    <w:rsid w:val="00320630"/>
    <w:rsid w:val="00322EE5"/>
    <w:rsid w:val="003866C5"/>
    <w:rsid w:val="004602FC"/>
    <w:rsid w:val="004A4F83"/>
    <w:rsid w:val="004C1972"/>
    <w:rsid w:val="005A2C5D"/>
    <w:rsid w:val="006855A7"/>
    <w:rsid w:val="00785674"/>
    <w:rsid w:val="00894CEF"/>
    <w:rsid w:val="00B6078D"/>
    <w:rsid w:val="00BA22F6"/>
    <w:rsid w:val="00F053F9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A5432-9034-49AD-A108-13C56773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eastAsia="Calibri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xyz.com/" TargetMode="External"/><Relationship Id="rId18" Type="http://schemas.openxmlformats.org/officeDocument/2006/relationships/hyperlink" Target="http://www.gtmalia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gtmalia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yx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zyx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gtmalia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zyx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Radheshwar S Modi</dc:creator>
  <cp:lastModifiedBy>Radheshwar S Modi</cp:lastModifiedBy>
  <cp:revision>11</cp:revision>
  <dcterms:created xsi:type="dcterms:W3CDTF">2017-02-13T08:50:00Z</dcterms:created>
  <dcterms:modified xsi:type="dcterms:W3CDTF">2017-02-14T13:01:00Z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