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30"/>
              <w:rFonts w:hint="eastAsia"/>
            </w:rPr>
            <w:t>系统分层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30"/>
            </w:rPr>
            <w:t>MVC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30"/>
              <w:rFonts w:hint="eastAsia"/>
            </w:rPr>
            <w:t>启动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创建</w:t>
          </w:r>
          <w:r>
            <w:rPr>
              <w:rStyle w:val="30"/>
            </w:rPr>
            <w:t>Bean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30"/>
            </w:rPr>
            <w:t>Spring IOC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DI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注入值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其它功能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基于注解的组件扫描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读取请求参数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向页面传值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重定向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字符编码过滤器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30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jdbc</w:t>
          </w:r>
          <w:r>
            <w:rPr>
              <w:rStyle w:val="30"/>
              <w:rFonts w:hint="eastAsia"/>
            </w:rPr>
            <w:t>，</w:t>
          </w:r>
          <w:r>
            <w:rPr>
              <w:rStyle w:val="30"/>
            </w:rPr>
            <w:t xml:space="preserve"> Hibernate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使用步骤和原理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映射文件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30"/>
            </w:rPr>
            <w:t>MyBatis API</w:t>
          </w:r>
          <w:r>
            <w:rPr>
              <w:rStyle w:val="30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"_Toc500907247" </w:instrText>
          </w:r>
          <w:r>
            <w:fldChar w:fldCharType="separate"/>
          </w:r>
          <w:r>
            <w:rPr>
              <w:rStyle w:val="30"/>
              <w:rFonts w:hint="eastAsia"/>
            </w:rPr>
            <w:t>获取</w:t>
          </w:r>
          <w:r>
            <w:rPr>
              <w:rStyle w:val="30"/>
            </w:rPr>
            <w:t>SqlSession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"_Toc500907248" </w:instrText>
          </w:r>
          <w:r>
            <w:fldChar w:fldCharType="separate"/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tab/>
          </w:r>
          <w:r>
            <w:fldChar w:fldCharType="begin"/>
          </w:r>
          <w:r>
            <w:instrText xml:space="preserve"> PAGEREF _Toc500907248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"_Toc500907250" </w:instrText>
          </w:r>
          <w:r>
            <w:fldChar w:fldCharType="separate"/>
          </w:r>
          <w:r>
            <w:rPr>
              <w:rStyle w:val="30"/>
            </w:rPr>
            <w:t>MapperScannerConfigurer</w:t>
          </w:r>
          <w:r>
            <w:tab/>
          </w:r>
          <w:r>
            <w:fldChar w:fldCharType="begin"/>
          </w:r>
          <w:r>
            <w:instrText xml:space="preserve"> PAGEREF _Toc500907250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</w:t>
          </w:r>
          <w:r>
            <w:rPr>
              <w:rStyle w:val="30"/>
              <w:rFonts w:hint="eastAsia"/>
            </w:rPr>
            <w:t>不使用</w:t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动态</w:t>
          </w:r>
          <w:r>
            <w:rPr>
              <w:rStyle w:val="30"/>
            </w:rPr>
            <w:t>SQL</w:t>
          </w:r>
          <w:r>
            <w:tab/>
          </w:r>
          <w:r>
            <w:fldChar w:fldCharType="begin"/>
          </w:r>
          <w:r>
            <w:instrText xml:space="preserve"> PAGEREF _Toc500907252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"_Toc500907253"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对</w:t>
          </w:r>
          <w:r>
            <w:rPr>
              <w:rStyle w:val="30"/>
            </w:rPr>
            <w:t>Ajax</w:t>
          </w:r>
          <w:r>
            <w:rPr>
              <w:rStyle w:val="30"/>
              <w:rFonts w:hint="eastAsia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_Toc500907253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"_Toc500907254"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tab/>
          </w:r>
          <w:r>
            <w:fldChar w:fldCharType="begin"/>
          </w:r>
          <w:r>
            <w:instrText xml:space="preserve"> PAGEREF _Toc500907254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"_Toc500907255"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_Toc500907255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"_Toc500907256"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_Toc500907256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"_Toc500907257" </w:instrText>
          </w:r>
          <w:r>
            <w:fldChar w:fldCharType="separate"/>
          </w:r>
          <w:r>
            <w:rPr>
              <w:rStyle w:val="30"/>
            </w:rPr>
            <w:t>Spring AOP</w:t>
          </w:r>
          <w:r>
            <w:tab/>
          </w:r>
          <w:r>
            <w:fldChar w:fldCharType="begin"/>
          </w:r>
          <w:r>
            <w:instrText xml:space="preserve"> PAGEREF _Toc500907257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"_Toc500907258"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声明式事务管理</w:t>
          </w:r>
          <w:r>
            <w:tab/>
          </w:r>
          <w:r>
            <w:fldChar w:fldCharType="begin"/>
          </w:r>
          <w:r>
            <w:instrText xml:space="preserve"> PAGEREF _Toc500907258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"_Toc500907259" </w:instrText>
          </w:r>
          <w:r>
            <w:fldChar w:fldCharType="separate"/>
          </w:r>
          <w:r>
            <w:rPr>
              <w:rStyle w:val="30"/>
            </w:rPr>
            <w:t>resultType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resultMap</w:t>
          </w:r>
          <w:r>
            <w:tab/>
          </w:r>
          <w:r>
            <w:fldChar w:fldCharType="begin"/>
          </w:r>
          <w:r>
            <w:instrText xml:space="preserve"> PAGEREF _Toc500907259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"_Toc500907260" </w:instrText>
          </w:r>
          <w:r>
            <w:fldChar w:fldCharType="separate"/>
          </w:r>
          <w:r>
            <w:rPr>
              <w:rStyle w:val="30"/>
            </w:rPr>
            <w:t>Mybaits</w:t>
          </w:r>
          <w:r>
            <w:rPr>
              <w:rStyle w:val="30"/>
              <w:rFonts w:hint="eastAsia"/>
            </w:rPr>
            <w:t>中</w:t>
          </w:r>
          <w:r>
            <w:rPr>
              <w:rStyle w:val="30"/>
            </w:rPr>
            <w:t>"#"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"$"</w:t>
          </w:r>
          <w:r>
            <w:rPr>
              <w:rStyle w:val="30"/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_Toc500907260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jc w:val="left"/>
            <w:rPr>
              <w:rFonts w:ascii="Consolas" w:hAnsi="Consolas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jc w:val="left"/>
      </w:pPr>
      <w:bookmarkStart w:id="0" w:name="_Toc500907254"/>
      <w:r>
        <w:rPr>
          <w:rFonts w:hint="eastAsia"/>
        </w:rPr>
        <w:t>AOP</w:t>
      </w:r>
      <w:bookmarkEnd w:id="0"/>
      <w:r>
        <w:rPr>
          <w:rFonts w:hint="eastAsia"/>
        </w:rPr>
        <w:t xml:space="preserve"> </w:t>
      </w:r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种编程思想，可以说是OOP的补充和完善。OOP允许开发者定义纵向的关系，但并不适合横向的关系，例如日志记录，安全控制，异常管理，事务处理。这些代码往往横向地散布在所有对象层次中，与核心业务毫无关系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AOP技术将那些影响了多个类的公共行为封装到了一个可重用模块，并将其命名为Aspect，即切面。这样便于减少系统的重复代码，使得开发者能用更优雅的方式处理具有横切性质的服务。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AOP把软件系统分为两个部分：核心关注点和横切关注点。业务处理的主要流程是核心关注点，与之关系不大的部分是横切关注点。AOP的作用在于分离系统中各种关注点，将核心关注点和横切关注</w:t>
            </w:r>
            <w:bookmarkStart w:id="12" w:name="_GoBack"/>
            <w:bookmarkEnd w:id="12"/>
            <w:r>
              <w:rPr>
                <w:rFonts w:hint="eastAsia" w:ascii="Consolas" w:hAnsi="Consolas"/>
                <w:sz w:val="20"/>
              </w:rPr>
              <w:t>点分离开来。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55"/>
      <w:r>
        <w:rPr>
          <w:rFonts w:hint="eastAsia"/>
        </w:rPr>
        <w:t>AOP基本概念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7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cross-cutting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与对象核心功能无关的公共行为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关注点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concern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一块我们感兴趣的区域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切面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横切面对象，对横切关注点的抽象(可以借助@Aspect声明)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连接点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JoinPoint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被拦截到的点，可以是方法，字段和构造器，Spring只支持拦截方法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Pointcut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对连接点进行拦截的定义  @Pointcut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advice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拦截到连接点之后要执行的代码  1）前置@Before 2）后置@After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3）异常@AfterThrowing 4）最终@AfterReturing 5）环绕通知@Around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目标对象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target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代理的目标对象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织入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weave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将切面应用到目标对象并导致代理对象创建的过程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为类动态地添加一些方法或字段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2" w:name="_Toc500907256"/>
      <w:r>
        <w:rPr>
          <w:rFonts w:hint="eastAsia"/>
        </w:rPr>
        <w:t>AOP实现方式</w:t>
      </w:r>
      <w:bookmarkEnd w:id="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静态代理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写一个代理类：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与被代理类实现相同的接口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写一个实现代理类(ph)实现</w:t>
            </w:r>
            <w:r>
              <w:rPr>
                <w:rFonts w:ascii="Consolas" w:hAnsi="Consolas"/>
                <w:sz w:val="20"/>
              </w:rPr>
              <w:t>InvocationHandler</w:t>
            </w:r>
            <w:r>
              <w:rPr>
                <w:rFonts w:hint="eastAsia" w:ascii="Consolas" w:hAnsi="Consolas"/>
                <w:sz w:val="20"/>
              </w:rPr>
              <w:t>：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负责创建代理对象，创建的代理对象也实现相同的接口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重写的invoke()，执行目标对象方法时默认调用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new ProjectServiceStaticProxy(psi);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(ProjectService) ph.newProxy(psi);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sz w:val="20"/>
        </w:rPr>
      </w:pPr>
      <w:bookmarkStart w:id="3" w:name="_Toc500907257"/>
      <w:r>
        <w:rPr>
          <w:rFonts w:hint="eastAsia"/>
        </w:rPr>
        <w:t>Spring AOP</w:t>
      </w:r>
      <w:bookmarkEnd w:id="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39"/>
        <w:gridCol w:w="1134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aspectjrt, aspectjweaver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spring配置文件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&lt;aop:aspectj-autoproxy/&gt;</w:t>
            </w:r>
            <w:r>
              <w:rPr>
                <w:rFonts w:hint="eastAsia" w:ascii="Consolas" w:hAnsi="Consolas"/>
                <w:sz w:val="20"/>
              </w:rPr>
              <w:t xml:space="preserve">   // 使aspectj注解生效，自动为目标对象生成代理对象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 xml:space="preserve">bean业务组件 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@Service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XxxServiceImpl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@Order(1) @Aspect @Component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XxxAspect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定义切入点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Bean名称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@Before("bean(*ServiceImpl)")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@Pointcut("execution(*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cn.tedu.aop.*ServiceImpl.*Object(..))")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within(cn.tedu.aop..*)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(XxxService) ac.getBean(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@Service类的id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AOP底层基于动态代理技术，可以很方便的实现业务功能扩展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AOP底层代理对象创建过程分析（目标对象实现了接口则自动使用JDK动态代理，否则选择CGLIB包）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4" w:name="_Toc500907258"/>
      <w:r>
        <w:rPr>
          <w:rFonts w:hint="eastAsia"/>
        </w:rPr>
        <w:t>基于注解的Spring声明式事务管理</w:t>
      </w:r>
      <w:bookmarkEnd w:id="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9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Srping声明式事务管理是通过Spring AOP实现的。其本质是对方法前后进行拦截，然后在目标方法开始之前创建或者加入一个事物，在执行目标方法之后根据执行情况提交或回滚事务。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只有public</w:t>
            </w:r>
            <w:r>
              <w:rPr>
                <w:rFonts w:hint="eastAsia" w:ascii="Consolas" w:hAnsi="Consolas"/>
                <w:sz w:val="20"/>
              </w:rPr>
              <w:t>方法起作用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只有来自外部的方法调用才会被AOP代理捕获，类内部方法调用本类内部的其它方法不会引起事务行为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&lt;!-- 配置PlatformTransactionManager事务管理组件</w:t>
            </w:r>
          </w:p>
          <w:p>
            <w:pPr>
              <w:ind w:firstLine="300" w:firstLineChars="1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Hibernate技术的话，要选用HibernateTransactionManager --&gt;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id="txManager"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class="…DataSourceTransactionManager"&gt;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ref="dataSource"/&gt;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&lt;tx:annotation-driven transaction-manager="txManager"/&gt;</w:t>
            </w:r>
            <w:r>
              <w:rPr>
                <w:rFonts w:hint="eastAsia" w:ascii="Consolas" w:hAnsi="Consolas"/>
                <w:sz w:val="20"/>
              </w:rPr>
              <w:t xml:space="preserve">  // 开启事务注解扫描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hint="eastAsia" w:ascii="Consolas" w:hAnsi="Consolas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hint="eastAsia" w:ascii="Consolas" w:hAnsi="Consolas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当配置文件中有多个TransactionManager，可以用该属性指定选择哪个事务管理器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支持当前事务，如果当前没有事务，就新建一个事务，默认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支持当前事务，如果当前没有事务，就以非事务方式执行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新建事务，如果当前存在事务，把当前事务挂起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数据库默认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READ_UNCOMMITTED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Oracle, SQL Server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REPEATABLE_READ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MySQL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SERIALIZABLE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默认的隔离级别，使用数据库默认的事务隔离级别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readOnly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设置当前事务是否为只读事务，设置为true表示只读，默认值为false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rollbackFor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设置需要进行事务回滚的异常类数组（默认RuntimeException将触发事务回滚）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设置事务的超时秒数，默认值为-1，表示永不超时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5" w:name="OLE_LINK3"/>
      <w:bookmarkStart w:id="6" w:name="_Toc500907259"/>
      <w:bookmarkStart w:id="7" w:name="OLE_LINK2"/>
      <w:r>
        <w:rPr>
          <w:rFonts w:hint="eastAsia"/>
        </w:rPr>
        <w:t>resultType</w:t>
      </w:r>
      <w:bookmarkEnd w:id="5"/>
      <w:r>
        <w:rPr>
          <w:rFonts w:hint="eastAsia"/>
        </w:rPr>
        <w:t>和</w:t>
      </w:r>
      <w:bookmarkStart w:id="8" w:name="OLE_LINK1"/>
      <w:r>
        <w:rPr>
          <w:rFonts w:hint="eastAsia"/>
        </w:rPr>
        <w:t>resultMap</w:t>
      </w:r>
      <w:bookmarkEnd w:id="6"/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resultType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resultMap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直接表示返回类型（属性名要和表字段名一致）</w:t>
            </w:r>
          </w:p>
        </w:tc>
        <w:tc>
          <w:tcPr>
            <w:tcW w:w="5341" w:type="dxa"/>
          </w:tcPr>
          <w:p>
            <w:pPr>
              <w:tabs>
                <w:tab w:val="left" w:pos="1896"/>
              </w:tabs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对外部ResultMap的引用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jc w:val="left"/>
              <w:rPr>
                <w:rFonts w:ascii="Consolas" w:hAnsi="Consolas" w:eastAsia="宋体J鐈..."/>
                <w:sz w:val="20"/>
              </w:rPr>
            </w:pPr>
            <w:r>
              <w:rPr>
                <w:rFonts w:ascii="Consolas" w:hAnsi="Consolas" w:eastAsia="宋体J鐈..."/>
                <w:sz w:val="20"/>
              </w:rPr>
              <w:t>在MyBatis进行查询映射时，其实查询出来的每一个属性都是放在一个对应的Map里面的，其中键是属性名，值则是其对应的值。</w:t>
            </w:r>
          </w:p>
          <w:p>
            <w:pPr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eastAsia="宋体J鐈..."/>
                <w:sz w:val="20"/>
              </w:rPr>
              <w:t>当提供的返回类型属性是resultType时，MyBatis会将Map里面的键值对取出赋给resultType所指定的对象对应的属性。所以其实MyBatis的每一个查询映射的返回类型都是ResultMap，只是当提供的返回类型属性是resultType的时候，</w:t>
            </w:r>
            <w:r>
              <w:rPr>
                <w:rFonts w:hint="eastAsia" w:ascii="Consolas" w:hAnsi="Consolas" w:eastAsia="宋体J鐈..."/>
                <w:sz w:val="20"/>
              </w:rPr>
              <w:t>MyBatis对自动的给把应值赋resultType所指定对象的属性。</w:t>
            </w:r>
          </w:p>
        </w:tc>
      </w:tr>
      <w:bookmarkEnd w:id="7"/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9" w:name="_Toc500907260"/>
      <w:bookmarkStart w:id="10" w:name="OLE_LINK6"/>
      <w:r>
        <w:rPr>
          <w:rFonts w:hint="eastAsia"/>
        </w:rPr>
        <w:t>Mybaits中</w:t>
      </w:r>
      <w:r>
        <w:t>"</w:t>
      </w:r>
      <w:r>
        <w:rPr>
          <w:rFonts w:hint="eastAsia"/>
        </w:rPr>
        <w:t>#</w:t>
      </w:r>
      <w:r>
        <w:t>"</w:t>
      </w:r>
      <w:r>
        <w:rPr>
          <w:rFonts w:hint="eastAsia"/>
        </w:rPr>
        <w:t>与</w:t>
      </w:r>
      <w:r>
        <w:t>"</w:t>
      </w:r>
      <w:r>
        <w:rPr>
          <w:rFonts w:hint="eastAsia"/>
        </w:rPr>
        <w:t>$</w:t>
      </w:r>
      <w:r>
        <w:t>"</w:t>
      </w:r>
      <w:r>
        <w:rPr>
          <w:rFonts w:hint="eastAsia"/>
        </w:rPr>
        <w:t>的区别</w:t>
      </w:r>
      <w:bookmarkEnd w:id="9"/>
    </w:p>
    <w:bookmarkEnd w:id="10"/>
    <w:p>
      <w:pPr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#相当于对数据加上双引号，$相当于直接显示数据。</w:t>
      </w:r>
    </w:p>
    <w:p>
      <w:pPr>
        <w:pStyle w:val="56"/>
        <w:numPr>
          <w:ilvl w:val="0"/>
          <w:numId w:val="5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#将传入的参数值都当成一个字符串，会对自动传入的数据加一个双引号。如：order by #user_id#，传入的值是27，那么解析成sql时的值为order by "27"， 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"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"，它写入的是你传进去的值。#可以防止语句注入</w:t>
      </w:r>
    </w:p>
    <w:p>
      <w:pPr>
        <w:pStyle w:val="56"/>
        <w:numPr>
          <w:ilvl w:val="0"/>
          <w:numId w:val="5"/>
        </w:numPr>
        <w:ind w:firstLineChars="0"/>
        <w:jc w:val="left"/>
        <w:rPr>
          <w:rFonts w:ascii="Consolas" w:hAnsi="Consolas" w:eastAsia="宋体J鐈..."/>
          <w:sz w:val="20"/>
        </w:rPr>
      </w:pPr>
      <w:r>
        <w:rPr>
          <w:rFonts w:ascii="Consolas" w:hAnsi="Consolas" w:eastAsia="宋体J鐈..."/>
          <w:sz w:val="20"/>
        </w:rPr>
        <w:t>$将传入的</w:t>
      </w:r>
      <w:r>
        <w:rPr>
          <w:rFonts w:hint="eastAsia" w:ascii="Consolas" w:hAnsi="Consolas" w:eastAsia="宋体J鐈..."/>
          <w:sz w:val="20"/>
        </w:rPr>
        <w:t>属性</w:t>
      </w:r>
      <w:r>
        <w:rPr>
          <w:rFonts w:ascii="Consolas" w:hAnsi="Consolas" w:eastAsia="宋体J鐈..."/>
          <w:sz w:val="20"/>
        </w:rPr>
        <w:t>直接显示生成在sql中。如：order by $</w:t>
      </w:r>
      <w:bookmarkStart w:id="11" w:name="OLE_LINK12"/>
      <w:r>
        <w:rPr>
          <w:rFonts w:ascii="Consolas" w:hAnsi="Consolas" w:eastAsia="宋体J鐈..."/>
          <w:sz w:val="20"/>
        </w:rPr>
        <w:t>user_id</w:t>
      </w:r>
      <w:bookmarkEnd w:id="11"/>
      <w:r>
        <w:rPr>
          <w:rFonts w:ascii="Consolas" w:hAnsi="Consolas" w:eastAsia="宋体J鐈..."/>
          <w:sz w:val="20"/>
        </w:rPr>
        <w:t>$，如果传入的值是27，那么解析成sql时的值为order by user_id，如果传入的值是</w:t>
      </w:r>
      <w:r>
        <w:rPr>
          <w:rFonts w:hint="eastAsia" w:ascii="Consolas" w:hAnsi="Consolas" w:eastAsia="宋体J鐈..."/>
          <w:sz w:val="20"/>
        </w:rPr>
        <w:t>id</w:t>
      </w:r>
      <w:r>
        <w:rPr>
          <w:rFonts w:ascii="Consolas" w:hAnsi="Consolas" w:eastAsia="宋体J鐈..."/>
          <w:sz w:val="20"/>
        </w:rPr>
        <w:t>，则解析成的sql为order by id，它显示的是你传入的属性片段，而不是属性值。这是一个很危险的做法，如果在验证中加一个"or 1=1" 那就可能恒成立了。$不能防止语句注入</w:t>
      </w:r>
      <w:r>
        <w:rPr>
          <w:rFonts w:hint="eastAsia" w:ascii="Consolas" w:hAnsi="Consolas" w:eastAsia="宋体J鐈..."/>
          <w:sz w:val="20"/>
        </w:rPr>
        <w:t>，</w:t>
      </w:r>
      <w:r>
        <w:rPr>
          <w:rFonts w:ascii="Consolas" w:hAnsi="Consolas" w:eastAsia="宋体J鐈..."/>
          <w:sz w:val="20"/>
        </w:rPr>
        <w:t>一般用于传入数据库对象</w:t>
      </w:r>
      <w:r>
        <w:rPr>
          <w:rFonts w:hint="eastAsia" w:ascii="Consolas" w:hAnsi="Consolas" w:eastAsia="宋体J鐈..."/>
          <w:sz w:val="20"/>
        </w:rPr>
        <w:t>或order by动态参数。</w:t>
      </w:r>
    </w:p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="宋体J鐈..."/>
          <w:sz w:val="20"/>
        </w:rPr>
      </w:pPr>
    </w:p>
    <w:p>
      <w:pPr>
        <w:pStyle w:val="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宋体J鐈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1817D41"/>
    <w:multiLevelType w:val="multilevel"/>
    <w:tmpl w:val="21817D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B4A36"/>
    <w:multiLevelType w:val="multilevel"/>
    <w:tmpl w:val="314B4A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5D37EE"/>
    <w:multiLevelType w:val="multilevel"/>
    <w:tmpl w:val="425D37E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44301D"/>
    <w:multiLevelType w:val="multilevel"/>
    <w:tmpl w:val="444430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68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0E63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3C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2F53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3AC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A744E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906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2D0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04E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6C17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C0F2E8D"/>
    <w:rsid w:val="0E142B05"/>
    <w:rsid w:val="188D7C29"/>
    <w:rsid w:val="1C487068"/>
    <w:rsid w:val="1D1807FB"/>
    <w:rsid w:val="29711C86"/>
    <w:rsid w:val="2B044862"/>
    <w:rsid w:val="2D2B3D45"/>
    <w:rsid w:val="36BC5C8B"/>
    <w:rsid w:val="475A5F51"/>
    <w:rsid w:val="48901602"/>
    <w:rsid w:val="4B7972AF"/>
    <w:rsid w:val="540C74D8"/>
    <w:rsid w:val="55691671"/>
    <w:rsid w:val="55D73813"/>
    <w:rsid w:val="5CEF3B48"/>
    <w:rsid w:val="5D1E0AD6"/>
    <w:rsid w:val="5DF51BEF"/>
    <w:rsid w:val="5F050C34"/>
    <w:rsid w:val="63C44194"/>
    <w:rsid w:val="657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字符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字符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字符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字符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字符"/>
    <w:basedOn w:val="26"/>
    <w:link w:val="12"/>
    <w:semiHidden/>
    <w:qFormat/>
    <w:uiPriority w:val="99"/>
  </w:style>
  <w:style w:type="character" w:customStyle="1" w:styleId="62">
    <w:name w:val="批注主题 字符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20466-9528-4D4B-8112-B7F0D590CA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1557</Words>
  <Characters>8876</Characters>
  <Lines>73</Lines>
  <Paragraphs>20</Paragraphs>
  <TotalTime>1370</TotalTime>
  <ScaleCrop>false</ScaleCrop>
  <LinksUpToDate>false</LinksUpToDate>
  <CharactersWithSpaces>10413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2020-11-27T17:45:28Z</dcterms:modified>
  <cp:revision>3858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