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6593_1652293764" w:tooltip="1 Introduction">
            <w:r>
              <w:rPr>
                <w:rStyle w:val="IndexLink"/>
                <w:webHidden/>
              </w:rPr>
              <w:t>1 Introduction</w:t>
              <w:tab/>
              <w:t>5</w:t>
            </w:r>
          </w:hyperlink>
        </w:p>
        <w:p>
          <w:pPr>
            <w:pStyle w:val="TOC2"/>
            <w:tabs>
              <w:tab w:val="clear" w:pos="9077"/>
              <w:tab w:val="right" w:pos="9359" w:leader="dot"/>
            </w:tabs>
            <w:rPr/>
          </w:pPr>
          <w:hyperlink w:anchor="__RefHeading___Toc6595_1652293764" w:tooltip="1.1 Building applications with an AI agent">
            <w:r>
              <w:rPr>
                <w:rStyle w:val="IndexLink"/>
                <w:webHidden/>
              </w:rPr>
              <w:t>1.1 Building applications with an AI agent</w:t>
              <w:tab/>
              <w:t>6</w:t>
            </w:r>
          </w:hyperlink>
        </w:p>
        <w:p>
          <w:pPr>
            <w:pStyle w:val="TOC2"/>
            <w:tabs>
              <w:tab w:val="clear" w:pos="9077"/>
              <w:tab w:val="right" w:pos="9359" w:leader="dot"/>
            </w:tabs>
            <w:rPr/>
          </w:pPr>
          <w:hyperlink w:anchor="__RefHeading___Toc6597_1652293764" w:tooltip="1.2 How an HMI application is organized">
            <w:r>
              <w:rPr>
                <w:rStyle w:val="IndexLink"/>
                <w:webHidden/>
              </w:rPr>
              <w:t>1.2 How an HMI application is organized</w:t>
              <w:tab/>
              <w:t>7</w:t>
            </w:r>
          </w:hyperlink>
        </w:p>
        <w:p>
          <w:pPr>
            <w:pStyle w:val="TOC1"/>
            <w:tabs>
              <w:tab w:val="clear" w:pos="9360"/>
              <w:tab w:val="right" w:pos="9359" w:leader="dot"/>
            </w:tabs>
            <w:rPr/>
          </w:pPr>
          <w:hyperlink w:anchor="__RefHeading___Toc6599_1652293764" w:tooltip="2 The Studio window">
            <w:r>
              <w:rPr>
                <w:rStyle w:val="IndexLink"/>
                <w:webHidden/>
              </w:rPr>
              <w:t>2 The Studio window</w:t>
              <w:tab/>
              <w:t>8</w:t>
            </w:r>
          </w:hyperlink>
        </w:p>
        <w:p>
          <w:pPr>
            <w:pStyle w:val="TOC2"/>
            <w:tabs>
              <w:tab w:val="clear" w:pos="9077"/>
              <w:tab w:val="right" w:pos="9359" w:leader="dot"/>
            </w:tabs>
            <w:rPr/>
          </w:pPr>
          <w:hyperlink w:anchor="__RefHeading___Toc6601_1652293764" w:tooltip="2.1 The HMI menu">
            <w:r>
              <w:rPr>
                <w:rStyle w:val="IndexLink"/>
                <w:webHidden/>
              </w:rPr>
              <w:t>2.1 The HMI menu</w:t>
              <w:tab/>
              <w:t>9</w:t>
            </w:r>
          </w:hyperlink>
        </w:p>
        <w:p>
          <w:pPr>
            <w:pStyle w:val="TOC1"/>
            <w:tabs>
              <w:tab w:val="clear" w:pos="9360"/>
              <w:tab w:val="right" w:pos="9359" w:leader="dot"/>
            </w:tabs>
            <w:rPr/>
          </w:pPr>
          <w:hyperlink w:anchor="__RefHeading___Toc6603_1652293764" w:tooltip="3 Application settings">
            <w:r>
              <w:rPr>
                <w:rStyle w:val="IndexLink"/>
                <w:webHidden/>
              </w:rPr>
              <w:t>3 Application settings</w:t>
              <w:tab/>
              <w:t>10</w:t>
            </w:r>
          </w:hyperlink>
        </w:p>
        <w:p>
          <w:pPr>
            <w:pStyle w:val="TOC1"/>
            <w:tabs>
              <w:tab w:val="clear" w:pos="9360"/>
              <w:tab w:val="right" w:pos="9359" w:leader="dot"/>
            </w:tabs>
            <w:rPr/>
          </w:pPr>
          <w:hyperlink w:anchor="__RefHeading___Toc6605_1652293764" w:tooltip="4 Devices">
            <w:r>
              <w:rPr>
                <w:rStyle w:val="IndexLink"/>
                <w:webHidden/>
              </w:rPr>
              <w:t>4 Devices</w:t>
              <w:tab/>
              <w:t>12</w:t>
            </w:r>
          </w:hyperlink>
        </w:p>
        <w:p>
          <w:pPr>
            <w:pStyle w:val="TOC1"/>
            <w:tabs>
              <w:tab w:val="clear" w:pos="9360"/>
              <w:tab w:val="right" w:pos="9359" w:leader="dot"/>
            </w:tabs>
            <w:rPr/>
          </w:pPr>
          <w:hyperlink w:anchor="__RefHeading___Toc6607_1652293764" w:tooltip="5 Tags">
            <w:r>
              <w:rPr>
                <w:rStyle w:val="IndexLink"/>
                <w:webHidden/>
              </w:rPr>
              <w:t>5 Tags</w:t>
              <w:tab/>
              <w:t>13</w:t>
            </w:r>
          </w:hyperlink>
        </w:p>
        <w:p>
          <w:pPr>
            <w:pStyle w:val="TOC2"/>
            <w:tabs>
              <w:tab w:val="clear" w:pos="9077"/>
              <w:tab w:val="right" w:pos="9359" w:leader="dot"/>
            </w:tabs>
            <w:rPr/>
          </w:pPr>
          <w:hyperlink w:anchor="__RefHeading___Toc6609_1652293764" w:tooltip="5.1 Tag fields">
            <w:r>
              <w:rPr>
                <w:rStyle w:val="IndexLink"/>
                <w:webHidden/>
              </w:rPr>
              <w:t>5.1 Tag fields</w:t>
              <w:tab/>
              <w:t>15</w:t>
            </w:r>
          </w:hyperlink>
        </w:p>
        <w:p>
          <w:pPr>
            <w:pStyle w:val="TOC2"/>
            <w:tabs>
              <w:tab w:val="clear" w:pos="9077"/>
              <w:tab w:val="right" w:pos="9359" w:leader="dot"/>
            </w:tabs>
            <w:rPr/>
          </w:pPr>
          <w:hyperlink w:anchor="__RefHeading___Toc6611_1652293764" w:tooltip="5.2 Alarms on a tag">
            <w:r>
              <w:rPr>
                <w:rStyle w:val="IndexLink"/>
                <w:webHidden/>
              </w:rPr>
              <w:t>5.2 Alarms on a tag</w:t>
              <w:tab/>
              <w:t>15</w:t>
            </w:r>
          </w:hyperlink>
        </w:p>
        <w:p>
          <w:pPr>
            <w:pStyle w:val="TOC2"/>
            <w:tabs>
              <w:tab w:val="clear" w:pos="9077"/>
              <w:tab w:val="right" w:pos="9359" w:leader="dot"/>
            </w:tabs>
            <w:rPr/>
          </w:pPr>
          <w:hyperlink w:anchor="__RefHeading___Toc6613_1652293764" w:tooltip="5.3 Renaming, and finding and replacing tag references">
            <w:r>
              <w:rPr>
                <w:rStyle w:val="IndexLink"/>
                <w:webHidden/>
              </w:rPr>
              <w:t>5.3 Renaming, and finding and replacing tag references</w:t>
              <w:tab/>
              <w:t>16</w:t>
            </w:r>
          </w:hyperlink>
        </w:p>
        <w:p>
          <w:pPr>
            <w:pStyle w:val="TOC1"/>
            <w:tabs>
              <w:tab w:val="clear" w:pos="9360"/>
              <w:tab w:val="right" w:pos="9359" w:leader="dot"/>
            </w:tabs>
            <w:rPr/>
          </w:pPr>
          <w:hyperlink w:anchor="__RefHeading___Toc6615_1652293764" w:tooltip="6 Screens and windows">
            <w:r>
              <w:rPr>
                <w:rStyle w:val="IndexLink"/>
                <w:webHidden/>
              </w:rPr>
              <w:t>6 Screens and windows</w:t>
              <w:tab/>
              <w:t>17</w:t>
            </w:r>
          </w:hyperlink>
        </w:p>
        <w:p>
          <w:pPr>
            <w:pStyle w:val="TOC2"/>
            <w:tabs>
              <w:tab w:val="clear" w:pos="9077"/>
              <w:tab w:val="right" w:pos="9359" w:leader="dot"/>
            </w:tabs>
            <w:rPr/>
          </w:pPr>
          <w:hyperlink w:anchor="__RefHeading___Toc6617_1652293764" w:tooltip="6.1 Window properties">
            <w:r>
              <w:rPr>
                <w:rStyle w:val="IndexLink"/>
                <w:webHidden/>
              </w:rPr>
              <w:t>6.1 Window properties</w:t>
              <w:tab/>
              <w:t>17</w:t>
            </w:r>
          </w:hyperlink>
        </w:p>
        <w:p>
          <w:pPr>
            <w:pStyle w:val="TOC2"/>
            <w:tabs>
              <w:tab w:val="clear" w:pos="9077"/>
              <w:tab w:val="right" w:pos="9359" w:leader="dot"/>
            </w:tabs>
            <w:rPr/>
          </w:pPr>
          <w:hyperlink w:anchor="__RefHeading___Toc6619_1652293764" w:tooltip="6.2 The header, the navigation bar and the screens">
            <w:r>
              <w:rPr>
                <w:rStyle w:val="IndexLink"/>
                <w:webHidden/>
              </w:rPr>
              <w:t>6.2 The header, the navigation bar and the screens</w:t>
              <w:tab/>
              <w:t>19</w:t>
            </w:r>
          </w:hyperlink>
        </w:p>
        <w:p>
          <w:pPr>
            <w:pStyle w:val="TOC1"/>
            <w:tabs>
              <w:tab w:val="clear" w:pos="9360"/>
              <w:tab w:val="right" w:pos="9359" w:leader="dot"/>
            </w:tabs>
            <w:rPr/>
          </w:pPr>
          <w:hyperlink w:anchor="__RefHeading___Toc6621_1652293764" w:tooltip="7 Drawing objects">
            <w:r>
              <w:rPr>
                <w:rStyle w:val="IndexLink"/>
                <w:webHidden/>
              </w:rPr>
              <w:t>7 Drawing objects</w:t>
              <w:tab/>
              <w:t>20</w:t>
            </w:r>
          </w:hyperlink>
        </w:p>
        <w:p>
          <w:pPr>
            <w:pStyle w:val="TOC1"/>
            <w:tabs>
              <w:tab w:val="clear" w:pos="9360"/>
              <w:tab w:val="right" w:pos="9359" w:leader="dot"/>
            </w:tabs>
            <w:rPr/>
          </w:pPr>
          <w:hyperlink w:anchor="__RefHeading___Toc6623_1652293764" w:tooltip="8 Animation links">
            <w:r>
              <w:rPr>
                <w:rStyle w:val="IndexLink"/>
                <w:webHidden/>
              </w:rPr>
              <w:t>8 Animation links</w:t>
              <w:tab/>
              <w:t>21</w:t>
            </w:r>
          </w:hyperlink>
        </w:p>
        <w:p>
          <w:pPr>
            <w:pStyle w:val="TOC2"/>
            <w:tabs>
              <w:tab w:val="clear" w:pos="9077"/>
              <w:tab w:val="right" w:pos="9359" w:leader="dot"/>
            </w:tabs>
            <w:rPr/>
          </w:pPr>
          <w:hyperlink w:anchor="__RefHeading___Toc6625_1652293764" w:tooltip="8.1 A valve: status color, fault blink and faceplate">
            <w:r>
              <w:rPr>
                <w:rStyle w:val="IndexLink"/>
                <w:webHidden/>
              </w:rPr>
              <w:t>8.1 A valve: status color, fault blink and faceplate</w:t>
              <w:tab/>
              <w:t>23</w:t>
            </w:r>
          </w:hyperlink>
        </w:p>
        <w:p>
          <w:pPr>
            <w:pStyle w:val="TOC2"/>
            <w:tabs>
              <w:tab w:val="clear" w:pos="9077"/>
              <w:tab w:val="right" w:pos="9359" w:leader="dot"/>
            </w:tabs>
            <w:rPr/>
          </w:pPr>
          <w:hyperlink w:anchor="__RefHeading___Toc6627_1652293764" w:tooltip="8.2 The weigh hopper: percent fill">
            <w:r>
              <w:rPr>
                <w:rStyle w:val="IndexLink"/>
                <w:webHidden/>
              </w:rPr>
              <w:t>8.2 The weigh hopper: percent fill</w:t>
              <w:tab/>
              <w:t>24</w:t>
            </w:r>
          </w:hyperlink>
        </w:p>
        <w:p>
          <w:pPr>
            <w:pStyle w:val="TOC2"/>
            <w:tabs>
              <w:tab w:val="clear" w:pos="9077"/>
              <w:tab w:val="right" w:pos="9359" w:leader="dot"/>
            </w:tabs>
            <w:rPr/>
          </w:pPr>
          <w:hyperlink w:anchor="__RefHeading___Toc6629_1652293764" w:tooltip="8.3 Hopper pressure: value display and alarm colors">
            <w:r>
              <w:rPr>
                <w:rStyle w:val="IndexLink"/>
                <w:webHidden/>
              </w:rPr>
              <w:t>8.3 Hopper pressure: value display and alarm colors</w:t>
              <w:tab/>
              <w:t>25</w:t>
            </w:r>
          </w:hyperlink>
        </w:p>
        <w:p>
          <w:pPr>
            <w:pStyle w:val="TOC2"/>
            <w:tabs>
              <w:tab w:val="clear" w:pos="9077"/>
              <w:tab w:val="right" w:pos="9359" w:leader="dot"/>
            </w:tabs>
            <w:rPr/>
          </w:pPr>
          <w:hyperlink w:anchor="__RefHeading___Toc6631_1652293764" w:tooltip="8.4 Setpoints: user input">
            <w:r>
              <w:rPr>
                <w:rStyle w:val="IndexLink"/>
                <w:webHidden/>
              </w:rPr>
              <w:t>8.4 Setpoints: user input</w:t>
              <w:tab/>
              <w:t>26</w:t>
            </w:r>
          </w:hyperlink>
        </w:p>
        <w:p>
          <w:pPr>
            <w:pStyle w:val="TOC2"/>
            <w:tabs>
              <w:tab w:val="clear" w:pos="9077"/>
              <w:tab w:val="right" w:pos="9359" w:leader="dot"/>
            </w:tabs>
            <w:rPr/>
          </w:pPr>
          <w:hyperlink w:anchor="__RefHeading___Toc6633_1652293764" w:tooltip="8.5 Commands: pushbutton and enable">
            <w:r>
              <w:rPr>
                <w:rStyle w:val="IndexLink"/>
                <w:webHidden/>
              </w:rPr>
              <w:t>8.5 Commands: pushbutton and enable</w:t>
              <w:tab/>
              <w:t>27</w:t>
            </w:r>
          </w:hyperlink>
        </w:p>
        <w:p>
          <w:pPr>
            <w:pStyle w:val="TOC1"/>
            <w:tabs>
              <w:tab w:val="clear" w:pos="9360"/>
              <w:tab w:val="right" w:pos="9359" w:leader="dot"/>
            </w:tabs>
            <w:rPr/>
          </w:pPr>
          <w:hyperlink w:anchor="__RefHeading___Toc6635_1652293764" w:tooltip="9 Expressions and scripts">
            <w:r>
              <w:rPr>
                <w:rStyle w:val="IndexLink"/>
                <w:webHidden/>
              </w:rPr>
              <w:t>9 Expressions and scripts</w:t>
              <w:tab/>
              <w:t>28</w:t>
            </w:r>
          </w:hyperlink>
        </w:p>
        <w:p>
          <w:pPr>
            <w:pStyle w:val="TOC2"/>
            <w:tabs>
              <w:tab w:val="clear" w:pos="9077"/>
              <w:tab w:val="right" w:pos="9359" w:leader="dot"/>
            </w:tabs>
            <w:rPr/>
          </w:pPr>
          <w:hyperlink w:anchor="__RefHeading___Toc6637_1652293764" w:tooltip="9.1 Window and application scripts">
            <w:r>
              <w:rPr>
                <w:rStyle w:val="IndexLink"/>
                <w:webHidden/>
              </w:rPr>
              <w:t>9.1 Window and application scripts</w:t>
              <w:tab/>
              <w:t>29</w:t>
            </w:r>
          </w:hyperlink>
        </w:p>
        <w:p>
          <w:pPr>
            <w:pStyle w:val="TOC2"/>
            <w:tabs>
              <w:tab w:val="clear" w:pos="9077"/>
              <w:tab w:val="right" w:pos="9359" w:leader="dot"/>
            </w:tabs>
            <w:rPr/>
          </w:pPr>
          <w:hyperlink w:anchor="__RefHeading___Toc6639_1652293764" w:tooltip="9.2 Action scripts">
            <w:r>
              <w:rPr>
                <w:rStyle w:val="IndexLink"/>
                <w:webHidden/>
              </w:rPr>
              <w:t>9.2 Action scripts</w:t>
              <w:tab/>
              <w:t>33</w:t>
            </w:r>
          </w:hyperlink>
        </w:p>
        <w:p>
          <w:pPr>
            <w:pStyle w:val="TOC2"/>
            <w:tabs>
              <w:tab w:val="clear" w:pos="9077"/>
              <w:tab w:val="right" w:pos="9359" w:leader="dot"/>
            </w:tabs>
            <w:rPr/>
          </w:pPr>
          <w:hyperlink w:anchor="__RefHeading___Toc6641_1652293764" w:tooltip="9.3 Function reference">
            <w:r>
              <w:rPr>
                <w:rStyle w:val="IndexLink"/>
                <w:webHidden/>
              </w:rPr>
              <w:t>9.3 Function reference</w:t>
              <w:tab/>
              <w:t>34</w:t>
            </w:r>
          </w:hyperlink>
        </w:p>
        <w:p>
          <w:pPr>
            <w:pStyle w:val="TOC2"/>
            <w:tabs>
              <w:tab w:val="clear" w:pos="9077"/>
              <w:tab w:val="right" w:pos="9359" w:leader="dot"/>
            </w:tabs>
            <w:rPr/>
          </w:pPr>
          <w:hyperlink w:anchor="__RefHeading___Toc6643_1652293764" w:tooltip="9.4 Indirect tags: one faceplate for every device">
            <w:r>
              <w:rPr>
                <w:rStyle w:val="IndexLink"/>
                <w:webHidden/>
              </w:rPr>
              <w:t>9.4 Indirect tags: one faceplate for every device</w:t>
              <w:tab/>
              <w:t>39</w:t>
            </w:r>
          </w:hyperlink>
        </w:p>
        <w:p>
          <w:pPr>
            <w:pStyle w:val="TOC2"/>
            <w:tabs>
              <w:tab w:val="clear" w:pos="9077"/>
              <w:tab w:val="right" w:pos="9359" w:leader="dot"/>
            </w:tabs>
            <w:rPr/>
          </w:pPr>
          <w:hyperlink w:anchor="__RefHeading___Toc6645_1652293764" w:tooltip="9.5 Opening windows from scripts: ShowWindow">
            <w:r>
              <w:rPr>
                <w:rStyle w:val="IndexLink"/>
                <w:webHidden/>
              </w:rPr>
              <w:t>9.5 Opening windows from scripts: ShowWindow</w:t>
              <w:tab/>
              <w:t>40</w:t>
            </w:r>
          </w:hyperlink>
        </w:p>
        <w:p>
          <w:pPr>
            <w:pStyle w:val="TOC2"/>
            <w:tabs>
              <w:tab w:val="clear" w:pos="9077"/>
              <w:tab w:val="right" w:pos="9359" w:leader="dot"/>
            </w:tabs>
            <w:rPr/>
          </w:pPr>
          <w:hyperlink w:anchor="__RefHeading___Toc6647_1652293764" w:tooltip="9.6 Saving the screen as a PDF: ScreenToPDF">
            <w:r>
              <w:rPr>
                <w:rStyle w:val="IndexLink"/>
                <w:webHidden/>
              </w:rPr>
              <w:t>9.6 Saving the screen as a PDF: ScreenToPDF</w:t>
              <w:tab/>
              <w:t>43</w:t>
            </w:r>
          </w:hyperlink>
        </w:p>
        <w:p>
          <w:pPr>
            <w:pStyle w:val="TOC2"/>
            <w:tabs>
              <w:tab w:val="clear" w:pos="9077"/>
              <w:tab w:val="right" w:pos="9359" w:leader="dot"/>
            </w:tabs>
            <w:rPr/>
          </w:pPr>
          <w:hyperlink w:anchor="__RefHeading___Toc6649_1652293764" w:tooltip="9.7 Local variables: DIM">
            <w:r>
              <w:rPr>
                <w:rStyle w:val="IndexLink"/>
                <w:webHidden/>
              </w:rPr>
              <w:t>9.7 Local variables: DIM</w:t>
              <w:tab/>
              <w:t>44</w:t>
            </w:r>
          </w:hyperlink>
        </w:p>
        <w:p>
          <w:pPr>
            <w:pStyle w:val="TOC2"/>
            <w:tabs>
              <w:tab w:val="clear" w:pos="9077"/>
              <w:tab w:val="right" w:pos="9359" w:leader="dot"/>
            </w:tabs>
            <w:rPr/>
          </w:pPr>
          <w:hyperlink w:anchor="__RefHeading___Toc6651_1652293764" w:tooltip="9.8 QuickFunctions">
            <w:r>
              <w:rPr>
                <w:rStyle w:val="IndexLink"/>
                <w:webHidden/>
              </w:rPr>
              <w:t>9.8 QuickFunctions</w:t>
              <w:tab/>
              <w:t>45</w:t>
            </w:r>
          </w:hyperlink>
        </w:p>
        <w:p>
          <w:pPr>
            <w:pStyle w:val="TOC1"/>
            <w:tabs>
              <w:tab w:val="clear" w:pos="9360"/>
              <w:tab w:val="right" w:pos="9359" w:leader="dot"/>
            </w:tabs>
            <w:rPr/>
          </w:pPr>
          <w:hyperlink w:anchor="__RefHeading___Toc6653_1652293764" w:tooltip="10 Alarms and security">
            <w:r>
              <w:rPr>
                <w:rStyle w:val="IndexLink"/>
                <w:webHidden/>
              </w:rPr>
              <w:t>10 Alarms and security</w:t>
              <w:tab/>
              <w:t>47</w:t>
            </w:r>
          </w:hyperlink>
        </w:p>
        <w:p>
          <w:pPr>
            <w:pStyle w:val="TOC2"/>
            <w:tabs>
              <w:tab w:val="clear" w:pos="9077"/>
              <w:tab w:val="right" w:pos="9359" w:leader="dot"/>
            </w:tabs>
            <w:rPr/>
          </w:pPr>
          <w:hyperlink w:anchor="__RefHeading___Toc6655_1652293764" w:tooltip="10.1 Alarms">
            <w:r>
              <w:rPr>
                <w:rStyle w:val="IndexLink"/>
                <w:webHidden/>
              </w:rPr>
              <w:t>10.1 Alarms</w:t>
              <w:tab/>
              <w:t>47</w:t>
            </w:r>
          </w:hyperlink>
        </w:p>
        <w:p>
          <w:pPr>
            <w:pStyle w:val="TOC2"/>
            <w:tabs>
              <w:tab w:val="clear" w:pos="9077"/>
              <w:tab w:val="right" w:pos="9359" w:leader="dot"/>
            </w:tabs>
            <w:rPr/>
          </w:pPr>
          <w:hyperlink w:anchor="__RefHeading___Toc6657_1652293764" w:tooltip="10.2 Users and access levels">
            <w:r>
              <w:rPr>
                <w:rStyle w:val="IndexLink"/>
                <w:webHidden/>
              </w:rPr>
              <w:t>10.2 Users and access levels</w:t>
              <w:tab/>
              <w:t>47</w:t>
            </w:r>
          </w:hyperlink>
        </w:p>
        <w:p>
          <w:pPr>
            <w:pStyle w:val="TOC1"/>
            <w:tabs>
              <w:tab w:val="clear" w:pos="9360"/>
              <w:tab w:val="right" w:pos="9359" w:leader="dot"/>
            </w:tabs>
            <w:rPr/>
          </w:pPr>
          <w:hyperlink w:anchor="__RefHeading___Toc6659_1652293764" w:tooltip="11 Recipes">
            <w:r>
              <w:rPr>
                <w:rStyle w:val="IndexLink"/>
                <w:webHidden/>
              </w:rPr>
              <w:t>11 Recipes</w:t>
              <w:tab/>
              <w:t>48</w:t>
            </w:r>
          </w:hyperlink>
        </w:p>
        <w:p>
          <w:pPr>
            <w:pStyle w:val="TOC2"/>
            <w:tabs>
              <w:tab w:val="clear" w:pos="9077"/>
              <w:tab w:val="right" w:pos="9359" w:leader="dot"/>
            </w:tabs>
            <w:rPr/>
          </w:pPr>
          <w:hyperlink w:anchor="__RefHeading___Toc6661_1652293764" w:tooltip="11.1 Recipe books">
            <w:r>
              <w:rPr>
                <w:rStyle w:val="IndexLink"/>
                <w:webHidden/>
              </w:rPr>
              <w:t>11.1 Recipe books</w:t>
              <w:tab/>
              <w:t>49</w:t>
            </w:r>
          </w:hyperlink>
        </w:p>
        <w:p>
          <w:pPr>
            <w:pStyle w:val="TOC2"/>
            <w:tabs>
              <w:tab w:val="clear" w:pos="9077"/>
              <w:tab w:val="right" w:pos="9359" w:leader="dot"/>
            </w:tabs>
            <w:rPr/>
          </w:pPr>
          <w:hyperlink w:anchor="__RefHeading___Toc6663_1652293764" w:tooltip="11.2 The Recipes screen">
            <w:r>
              <w:rPr>
                <w:rStyle w:val="IndexLink"/>
                <w:webHidden/>
              </w:rPr>
              <w:t>11.2 The Recipes screen</w:t>
              <w:tab/>
              <w:t>51</w:t>
            </w:r>
          </w:hyperlink>
        </w:p>
        <w:p>
          <w:pPr>
            <w:pStyle w:val="TOC2"/>
            <w:tabs>
              <w:tab w:val="clear" w:pos="9077"/>
              <w:tab w:val="right" w:pos="9359" w:leader="dot"/>
            </w:tabs>
            <w:rPr/>
          </w:pPr>
          <w:hyperlink w:anchor="__RefHeading___Toc6665_1652293764" w:tooltip="11.3 The Recipe List object">
            <w:r>
              <w:rPr>
                <w:rStyle w:val="IndexLink"/>
                <w:webHidden/>
              </w:rPr>
              <w:t>11.3 The Recipe List object</w:t>
              <w:tab/>
              <w:t>53</w:t>
            </w:r>
          </w:hyperlink>
        </w:p>
        <w:p>
          <w:pPr>
            <w:pStyle w:val="TOC2"/>
            <w:tabs>
              <w:tab w:val="clear" w:pos="9077"/>
              <w:tab w:val="right" w:pos="9359" w:leader="dot"/>
            </w:tabs>
            <w:rPr/>
          </w:pPr>
          <w:hyperlink w:anchor="__RefHeading___Toc6667_1652293764" w:tooltip="11.4 Selecting a recipe in a window">
            <w:r>
              <w:rPr>
                <w:rStyle w:val="IndexLink"/>
                <w:webHidden/>
              </w:rPr>
              <w:t>11.4 Selecting a recipe in a window</w:t>
              <w:tab/>
              <w:t>54</w:t>
            </w:r>
          </w:hyperlink>
        </w:p>
        <w:p>
          <w:pPr>
            <w:pStyle w:val="TOC2"/>
            <w:tabs>
              <w:tab w:val="clear" w:pos="9077"/>
              <w:tab w:val="right" w:pos="9359" w:leader="dot"/>
            </w:tabs>
            <w:rPr/>
          </w:pPr>
          <w:hyperlink w:anchor="__RefHeading___Toc6669_1652293764" w:tooltip="11.5 When a recipe function fails">
            <w:r>
              <w:rPr>
                <w:rStyle w:val="IndexLink"/>
                <w:webHidden/>
              </w:rPr>
              <w:t>11.5 When a recipe function fails</w:t>
              <w:tab/>
              <w:t>55</w:t>
            </w:r>
          </w:hyperlink>
        </w:p>
        <w:p>
          <w:pPr>
            <w:pStyle w:val="TOC2"/>
            <w:tabs>
              <w:tab w:val="clear" w:pos="9077"/>
              <w:tab w:val="right" w:pos="9359" w:leader="dot"/>
            </w:tabs>
            <w:rPr/>
          </w:pPr>
          <w:hyperlink w:anchor="__RefHeading___Toc6671_1652293764" w:tooltip="11.6 Where recipes are kept">
            <w:r>
              <w:rPr>
                <w:rStyle w:val="IndexLink"/>
                <w:webHidden/>
              </w:rPr>
              <w:t>11.6 Where recipes are kept</w:t>
              <w:tab/>
              <w:t>55</w:t>
            </w:r>
          </w:hyperlink>
        </w:p>
        <w:p>
          <w:pPr>
            <w:pStyle w:val="TOC1"/>
            <w:tabs>
              <w:tab w:val="clear" w:pos="9360"/>
              <w:tab w:val="right" w:pos="9359" w:leader="dot"/>
            </w:tabs>
            <w:rPr/>
          </w:pPr>
          <w:hyperlink w:anchor="__RefHeading___Toc6673_1652293764" w:tooltip="12 Trends">
            <w:r>
              <w:rPr>
                <w:rStyle w:val="IndexLink"/>
                <w:webHidden/>
              </w:rPr>
              <w:t>12 Trends</w:t>
              <w:tab/>
              <w:t>56</w:t>
            </w:r>
          </w:hyperlink>
        </w:p>
        <w:p>
          <w:pPr>
            <w:pStyle w:val="TOC2"/>
            <w:tabs>
              <w:tab w:val="clear" w:pos="9077"/>
              <w:tab w:val="right" w:pos="9359" w:leader="dot"/>
            </w:tabs>
            <w:rPr/>
          </w:pPr>
          <w:hyperlink w:anchor="__RefHeading___Toc6675_1652293764" w:tooltip="12.1 The Trend object">
            <w:r>
              <w:rPr>
                <w:rStyle w:val="IndexLink"/>
                <w:webHidden/>
              </w:rPr>
              <w:t>12.1 The Trend object</w:t>
              <w:tab/>
              <w:t>56</w:t>
            </w:r>
          </w:hyperlink>
        </w:p>
        <w:p>
          <w:pPr>
            <w:pStyle w:val="TOC2"/>
            <w:tabs>
              <w:tab w:val="clear" w:pos="9077"/>
              <w:tab w:val="right" w:pos="9359" w:leader="dot"/>
            </w:tabs>
            <w:rPr/>
          </w:pPr>
          <w:hyperlink w:anchor="__RefHeading___Toc6677_1652293764" w:tooltip="12.2 Pens and their ranges">
            <w:r>
              <w:rPr>
                <w:rStyle w:val="IndexLink"/>
                <w:webHidden/>
              </w:rPr>
              <w:t>12.2 Pens and their ranges</w:t>
              <w:tab/>
              <w:t>57</w:t>
            </w:r>
          </w:hyperlink>
        </w:p>
        <w:p>
          <w:pPr>
            <w:pStyle w:val="TOC2"/>
            <w:tabs>
              <w:tab w:val="clear" w:pos="9077"/>
              <w:tab w:val="right" w:pos="9359" w:leader="dot"/>
            </w:tabs>
            <w:rPr/>
          </w:pPr>
          <w:hyperlink w:anchor="__RefHeading___Toc6679_1652293764" w:tooltip="12.3 The Trends screen">
            <w:r>
              <w:rPr>
                <w:rStyle w:val="IndexLink"/>
                <w:webHidden/>
              </w:rPr>
              <w:t>12.3 The Trends screen</w:t>
              <w:tab/>
              <w:t>58</w:t>
            </w:r>
          </w:hyperlink>
        </w:p>
        <w:p>
          <w:pPr>
            <w:pStyle w:val="TOC2"/>
            <w:tabs>
              <w:tab w:val="clear" w:pos="9077"/>
              <w:tab w:val="right" w:pos="9359" w:leader="dot"/>
            </w:tabs>
            <w:rPr/>
          </w:pPr>
          <w:hyperlink w:anchor="__RefHeading___Toc6681_1652293764" w:tooltip="12.4 Scrolling through the history">
            <w:r>
              <w:rPr>
                <w:rStyle w:val="IndexLink"/>
                <w:webHidden/>
              </w:rPr>
              <w:t>12.4 Scrolling through the history</w:t>
              <w:tab/>
              <w:t>59</w:t>
            </w:r>
          </w:hyperlink>
        </w:p>
        <w:p>
          <w:pPr>
            <w:pStyle w:val="TOC2"/>
            <w:tabs>
              <w:tab w:val="clear" w:pos="9077"/>
              <w:tab w:val="right" w:pos="9359" w:leader="dot"/>
            </w:tabs>
            <w:rPr/>
          </w:pPr>
          <w:hyperlink w:anchor="__RefHeading___Toc6683_1652293764" w:tooltip="12.5 Recording and where the history is kept">
            <w:r>
              <w:rPr>
                <w:rStyle w:val="IndexLink"/>
                <w:webHidden/>
              </w:rPr>
              <w:t>12.5 Recording and where the history is kept</w:t>
              <w:tab/>
              <w:t>60</w:t>
            </w:r>
          </w:hyperlink>
        </w:p>
        <w:p>
          <w:pPr>
            <w:pStyle w:val="TOC1"/>
            <w:tabs>
              <w:tab w:val="clear" w:pos="9360"/>
              <w:tab w:val="right" w:pos="9359" w:leader="dot"/>
            </w:tabs>
            <w:rPr/>
          </w:pPr>
          <w:hyperlink w:anchor="__RefHeading___Toc6685_1652293764" w:tooltip="13 Databases">
            <w:r>
              <w:rPr>
                <w:rStyle w:val="IndexLink"/>
                <w:webHidden/>
              </w:rPr>
              <w:t>13 Databases</w:t>
              <w:tab/>
              <w:t>61</w:t>
            </w:r>
          </w:hyperlink>
        </w:p>
        <w:p>
          <w:pPr>
            <w:pStyle w:val="TOC2"/>
            <w:tabs>
              <w:tab w:val="clear" w:pos="9077"/>
              <w:tab w:val="right" w:pos="9359" w:leader="dot"/>
            </w:tabs>
            <w:rPr/>
          </w:pPr>
          <w:hyperlink w:anchor="__RefHeading___Toc6687_1652293764" w:tooltip="13.1 Data sources">
            <w:r>
              <w:rPr>
                <w:rStyle w:val="IndexLink"/>
                <w:webHidden/>
              </w:rPr>
              <w:t>13.1 Data sources</w:t>
              <w:tab/>
              <w:t>62</w:t>
            </w:r>
          </w:hyperlink>
        </w:p>
        <w:p>
          <w:pPr>
            <w:pStyle w:val="TOC2"/>
            <w:tabs>
              <w:tab w:val="clear" w:pos="9077"/>
              <w:tab w:val="right" w:pos="9359" w:leader="dot"/>
            </w:tabs>
            <w:rPr/>
          </w:pPr>
          <w:hyperlink w:anchor="__RefHeading___Toc6689_1652293764" w:tooltip="13.2 Bind lists">
            <w:r>
              <w:rPr>
                <w:rStyle w:val="IndexLink"/>
                <w:webHidden/>
              </w:rPr>
              <w:t>13.2 Bind lists</w:t>
              <w:tab/>
              <w:t>63</w:t>
            </w:r>
          </w:hyperlink>
        </w:p>
        <w:p>
          <w:pPr>
            <w:pStyle w:val="TOC2"/>
            <w:tabs>
              <w:tab w:val="clear" w:pos="9077"/>
              <w:tab w:val="right" w:pos="9359" w:leader="dot"/>
            </w:tabs>
            <w:rPr/>
          </w:pPr>
          <w:hyperlink w:anchor="__RefHeading___Toc6691_1652293764" w:tooltip="13.3 Table templates and queries">
            <w:r>
              <w:rPr>
                <w:rStyle w:val="IndexLink"/>
                <w:webHidden/>
              </w:rPr>
              <w:t>13.3 Table templates and queries</w:t>
              <w:tab/>
              <w:t>64</w:t>
            </w:r>
          </w:hyperlink>
        </w:p>
        <w:p>
          <w:pPr>
            <w:pStyle w:val="TOC2"/>
            <w:tabs>
              <w:tab w:val="clear" w:pos="9077"/>
              <w:tab w:val="right" w:pos="9359" w:leader="dot"/>
            </w:tabs>
            <w:rPr/>
          </w:pPr>
          <w:hyperlink w:anchor="__RefHeading___Toc6693_1652293764" w:tooltip="13.4 The script functions">
            <w:r>
              <w:rPr>
                <w:rStyle w:val="IndexLink"/>
                <w:webHidden/>
              </w:rPr>
              <w:t>13.4 The script functions</w:t>
              <w:tab/>
              <w:t>65</w:t>
            </w:r>
          </w:hyperlink>
        </w:p>
        <w:p>
          <w:pPr>
            <w:pStyle w:val="TOC2"/>
            <w:tabs>
              <w:tab w:val="clear" w:pos="9077"/>
              <w:tab w:val="right" w:pos="9359" w:leader="dot"/>
            </w:tabs>
            <w:rPr/>
          </w:pPr>
          <w:hyperlink w:anchor="__RefHeading___Toc6695_1652293764" w:tooltip="13.5 The batch log in LiquidWeighHMI">
            <w:r>
              <w:rPr>
                <w:rStyle w:val="IndexLink"/>
                <w:webHidden/>
              </w:rPr>
              <w:t>13.5 The batch log in LiquidWeighHMI</w:t>
              <w:tab/>
              <w:t>67</w:t>
            </w:r>
          </w:hyperlink>
        </w:p>
        <w:p>
          <w:pPr>
            <w:pStyle w:val="TOC2"/>
            <w:tabs>
              <w:tab w:val="clear" w:pos="9077"/>
              <w:tab w:val="right" w:pos="9359" w:leader="dot"/>
            </w:tabs>
            <w:rPr/>
          </w:pPr>
          <w:hyperlink w:anchor="__RefHeading___Toc6697_1652293764" w:tooltip="13.6 Where the rows are kept">
            <w:r>
              <w:rPr>
                <w:rStyle w:val="IndexLink"/>
                <w:webHidden/>
              </w:rPr>
              <w:t>13.6 Where the rows are kept</w:t>
              <w:tab/>
              <w:t>68</w:t>
            </w:r>
          </w:hyperlink>
        </w:p>
        <w:p>
          <w:pPr>
            <w:pStyle w:val="TOC1"/>
            <w:tabs>
              <w:tab w:val="clear" w:pos="9360"/>
              <w:tab w:val="right" w:pos="9359" w:leader="dot"/>
            </w:tabs>
            <w:rPr/>
          </w:pPr>
          <w:hyperlink w:anchor="__RefHeading___Toc6699_1652293764" w:tooltip="14 Testing">
            <w:r>
              <w:rPr>
                <w:rStyle w:val="IndexLink"/>
                <w:webHidden/>
              </w:rPr>
              <w:t>14 Testing</w:t>
              <w:tab/>
              <w:t>69</w:t>
            </w:r>
          </w:hyperlink>
        </w:p>
        <w:p>
          <w:pPr>
            <w:pStyle w:val="TOC2"/>
            <w:tabs>
              <w:tab w:val="clear" w:pos="9077"/>
              <w:tab w:val="right" w:pos="9359" w:leader="dot"/>
            </w:tabs>
            <w:rPr/>
          </w:pPr>
          <w:hyperlink w:anchor="__RefHeading___Toc6701_1652293764" w:tooltip="14.1 Validate">
            <w:r>
              <w:rPr>
                <w:rStyle w:val="IndexLink"/>
                <w:webHidden/>
              </w:rPr>
              <w:t>14.1 Validate</w:t>
              <w:tab/>
              <w:t>69</w:t>
            </w:r>
          </w:hyperlink>
        </w:p>
        <w:p>
          <w:pPr>
            <w:pStyle w:val="TOC2"/>
            <w:tabs>
              <w:tab w:val="clear" w:pos="9077"/>
              <w:tab w:val="right" w:pos="9359" w:leader="dot"/>
            </w:tabs>
            <w:rPr/>
          </w:pPr>
          <w:hyperlink w:anchor="__RefHeading___Toc6703_1652293764" w:tooltip="14.2 Run">
            <w:r>
              <w:rPr>
                <w:rStyle w:val="IndexLink"/>
                <w:webHidden/>
              </w:rPr>
              <w:t>14.2 Run</w:t>
              <w:tab/>
              <w:t>70</w:t>
            </w:r>
          </w:hyperlink>
        </w:p>
        <w:p>
          <w:pPr>
            <w:pStyle w:val="TOC1"/>
            <w:tabs>
              <w:tab w:val="clear" w:pos="9360"/>
              <w:tab w:val="right" w:pos="9359" w:leader="dot"/>
            </w:tabs>
            <w:rPr/>
          </w:pPr>
          <w:hyperlink w:anchor="__RefHeading___Toc6705_1652293764" w:tooltip="15 Deploying">
            <w:r>
              <w:rPr>
                <w:rStyle w:val="IndexLink"/>
                <w:webHidden/>
              </w:rPr>
              <w:t>15 Deploying</w:t>
              <w:tab/>
              <w:t>74</w:t>
            </w:r>
          </w:hyperlink>
        </w:p>
        <w:p>
          <w:pPr>
            <w:pStyle w:val="TOC2"/>
            <w:tabs>
              <w:tab w:val="clear" w:pos="9077"/>
              <w:tab w:val="right" w:pos="9359" w:leader="dot"/>
            </w:tabs>
            <w:rPr/>
          </w:pPr>
          <w:hyperlink w:anchor="__RefHeading___Toc6707_1652293764" w:tooltip="15.1 Publish">
            <w:r>
              <w:rPr>
                <w:rStyle w:val="IndexLink"/>
                <w:webHidden/>
              </w:rPr>
              <w:t>15.1 Publish</w:t>
              <w:tab/>
              <w:t>75</w:t>
            </w:r>
          </w:hyperlink>
        </w:p>
        <w:p>
          <w:pPr>
            <w:pStyle w:val="TOC2"/>
            <w:tabs>
              <w:tab w:val="clear" w:pos="9077"/>
              <w:tab w:val="right" w:pos="9359" w:leader="dot"/>
            </w:tabs>
            <w:rPr/>
          </w:pPr>
          <w:hyperlink w:anchor="__RefHeading___Toc6709_1652293764" w:tooltip="15.2 Append HMI Desktop">
            <w:r>
              <w:rPr>
                <w:rStyle w:val="IndexLink"/>
                <w:webHidden/>
              </w:rPr>
              <w:t>15.2 Append HMI Desktop</w:t>
              <w:tab/>
              <w:t>76</w:t>
            </w:r>
          </w:hyperlink>
        </w:p>
        <w:p>
          <w:pPr>
            <w:pStyle w:val="TOC2"/>
            <w:tabs>
              <w:tab w:val="clear" w:pos="9077"/>
              <w:tab w:val="right" w:pos="9359" w:leader="dot"/>
            </w:tabs>
            <w:rPr/>
          </w:pPr>
          <w:hyperlink w:anchor="__RefHeading___Toc6711_1652293764" w:tooltip="15.3 Append HMI Web">
            <w:r>
              <w:rPr>
                <w:rStyle w:val="IndexLink"/>
                <w:webHidden/>
              </w:rPr>
              <w:t>15.3 Append HMI Web</w:t>
              <w:tab/>
              <w:t>76</w:t>
            </w:r>
          </w:hyperlink>
        </w:p>
        <w:p>
          <w:pPr>
            <w:pStyle w:val="TOC1"/>
            <w:tabs>
              <w:tab w:val="clear" w:pos="9360"/>
              <w:tab w:val="right" w:pos="9359" w:leader="dot"/>
            </w:tabs>
            <w:rPr/>
          </w:pPr>
          <w:hyperlink w:anchor="__RefHeading___Toc6713_1652293764" w:tooltip="16 Tips and troubleshooting">
            <w:r>
              <w:rPr>
                <w:rStyle w:val="IndexLink"/>
                <w:webHidden/>
              </w:rPr>
              <w:t>16 Tips and troubleshooting</w:t>
              <w:tab/>
              <w:t>78</w:t>
            </w:r>
          </w:hyperlink>
        </w:p>
        <w:p>
          <w:pPr>
            <w:pStyle w:val="TOC1"/>
            <w:tabs>
              <w:tab w:val="clear" w:pos="9360"/>
              <w:tab w:val="right" w:pos="9359" w:leader="dot"/>
            </w:tabs>
            <w:rPr/>
          </w:pPr>
          <w:hyperlink w:anchor="__RefHeading___Toc6715_1652293764" w:tooltip="Appendix A Command-line automation">
            <w:r>
              <w:rPr>
                <w:rStyle w:val="IndexLink"/>
                <w:webHidden/>
              </w:rPr>
              <w:t>Appendix A Command-line automation</w:t>
              <w:tab/>
              <w:t>79</w:t>
            </w:r>
          </w:hyperlink>
          <w:r>
            <w:rPr>
              <w:rStyle w:val="IndexLink"/>
            </w:rPr>
            <w:fldChar w:fldCharType="end"/>
          </w:r>
        </w:p>
      </w:sdtContent>
    </w:sdt>
    <w:p>
      <w:pPr>
        <w:pStyle w:val="Normal"/>
        <w:rPr/>
      </w:pPr>
      <w:r>
        <w:rPr/>
      </w:r>
      <w:r>
        <w:br w:type="page"/>
      </w:r>
    </w:p>
    <w:p>
      <w:pPr>
        <w:pStyle w:val="Heading1"/>
        <w:spacing w:before="0" w:after="0"/>
        <w:rPr/>
      </w:pPr>
      <w:bookmarkStart w:id="0" w:name="__RefHeading___Toc6593_1652293764"/>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Trends, Batch History, Alarm History and IO Sim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Database</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completed batch written to a SQLite file in Documents, and a Batch History screen that reads them back (chapter 13)</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6595_1652293764"/>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3"/>
        <w:gridCol w:w="6127"/>
      </w:tblGrid>
      <w:tr>
        <w:trPr>
          <w:tblHeader w:val="true"/>
          <w:cantSplit w:val="true"/>
        </w:trPr>
        <w:tc>
          <w:tcPr>
            <w:tcW w:w="32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6597_1652293764"/>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6599_1652293764"/>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and Trend objects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6601_1652293764"/>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2"/>
        <w:gridCol w:w="6658"/>
      </w:tblGrid>
      <w:tr>
        <w:trPr>
          <w:tblHeader w:val="true"/>
          <w:cantSplit w:val="true"/>
        </w:trPr>
        <w:tc>
          <w:tcPr>
            <w:tcW w:w="27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6603_1652293764"/>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6605_1652293764"/>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2"/>
        <w:gridCol w:w="2936"/>
        <w:gridCol w:w="4402"/>
      </w:tblGrid>
      <w:tr>
        <w:trPr>
          <w:tblHeader w:val="true"/>
          <w:cantSplit w:val="true"/>
        </w:trPr>
        <w:tc>
          <w:tcPr>
            <w:tcW w:w="20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6607_1652293764"/>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14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14750"/>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4"/>
        <w:gridCol w:w="3525"/>
        <w:gridCol w:w="2661"/>
      </w:tblGrid>
      <w:tr>
        <w:trPr>
          <w:tblHeader w:val="true"/>
          <w:cantSplit w:val="true"/>
        </w:trPr>
        <w:tc>
          <w:tcPr>
            <w:tcW w:w="3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6609_1652293764"/>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6611_1652293764"/>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6613_1652293764"/>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6615_1652293764"/>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6"/>
        <w:gridCol w:w="4832"/>
        <w:gridCol w:w="2861"/>
      </w:tblGrid>
      <w:tr>
        <w:trPr>
          <w:tblHeader w:val="true"/>
          <w:cantSplit w:val="true"/>
        </w:trPr>
        <w:tc>
          <w:tcPr>
            <w:tcW w:w="16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6617_1652293764"/>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6619_1652293764"/>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4" w:name="__RefHeading___Toc6621_1652293764"/>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10.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2"/>
        <w:gridCol w:w="8128"/>
      </w:tblGrid>
      <w:tr>
        <w:trPr>
          <w:tblHeader w:val="true"/>
          <w:cantSplit w:val="true"/>
        </w:trPr>
        <w:tc>
          <w:tcPr>
            <w:tcW w:w="1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four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and the </w:t>
      </w:r>
      <w:r>
        <w:rPr>
          <w:b/>
        </w:rPr>
        <w:t>Trend</w:t>
      </w:r>
      <w:r>
        <w:rPr/>
        <w:t xml:space="preserve"> (chapter 12).</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Recipe List and Trend</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6623_1652293764"/>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11.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7"/>
        <w:gridCol w:w="3440"/>
        <w:gridCol w:w="3574"/>
      </w:tblGrid>
      <w:tr>
        <w:trPr>
          <w:tblHeader w:val="true"/>
          <w:cantSplit w:val="true"/>
        </w:trPr>
        <w:tc>
          <w:tcPr>
            <w:tcW w:w="23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6" w:name="__RefHeading___Toc6625_1652293764"/>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6627_1652293764"/>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8" w:name="__RefHeading___Toc6629_1652293764"/>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9" w:name="__RefHeading___Toc6631_1652293764"/>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20" w:name="__RefHeading___Toc6633_1652293764"/>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12.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21" w:name="__RefHeading___Toc6635_1652293764"/>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13.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5"/>
        <w:gridCol w:w="6405"/>
      </w:tblGrid>
      <w:tr>
        <w:trPr>
          <w:tblHeader w:val="true"/>
          <w:cantSplit w:val="true"/>
        </w:trPr>
        <w:tc>
          <w:tcPr>
            <w:tcW w:w="29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14.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0"/>
        <w:gridCol w:w="7190"/>
      </w:tblGrid>
      <w:tr>
        <w:trPr>
          <w:tblHeader w:val="true"/>
          <w:cantSplit w:val="true"/>
        </w:trPr>
        <w:tc>
          <w:tcPr>
            <w:tcW w:w="2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7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_DateString, _TimeString, _DateTime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the time and both as text: 2026-10-17, 14:05:09 and 2026-10-17 14:05:09.270. The last is what a date and time column takes as it stands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_Year, _Month, _Day</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month 1 to 12</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_Hour, _Minute, _Second, _Msec</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hour 0 to 23</w:t>
            </w:r>
          </w:p>
        </w:tc>
      </w:tr>
    </w:tbl>
    <w:p>
      <w:pPr>
        <w:pStyle w:val="Normal"/>
        <w:rPr/>
      </w:pPr>
      <w:r>
        <w:rPr/>
      </w:r>
    </w:p>
    <w:p>
      <w:pPr>
        <w:pStyle w:val="Normal"/>
        <w:rPr/>
      </w:pPr>
      <w:r>
        <w:rPr/>
        <w:t>The date and time tags are this PC's local time, worked out as they are read, so a script reading _Msec gets the millisecond it ran in; a box showing one is repainted once a second. All the system tags are read-only, apart from _AckAll.</w:t>
      </w:r>
      <w:r>
        <w:br w:type="page"/>
      </w:r>
    </w:p>
    <w:p>
      <w:pPr>
        <w:pStyle w:val="Heading2"/>
        <w:rPr/>
      </w:pPr>
      <w:bookmarkStart w:id="22" w:name="__RefHeading___Toc6637_1652293764"/>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3" w:name="__RefHeading___Toc6639_1652293764"/>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rPr/>
      </w:pPr>
      <w:bookmarkStart w:id="24" w:name="__RefHeading___Toc6641_1652293764"/>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15.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8"/>
        <w:gridCol w:w="5995"/>
      </w:tblGrid>
      <w:tr>
        <w:trPr>
          <w:tblHeader w:val="true"/>
          <w:cantSplit w:val="true"/>
        </w:trPr>
        <w:tc>
          <w:tcPr>
            <w:tcW w:w="20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Normal"/>
        <w:rPr/>
      </w:pPr>
      <w:r>
        <w:rPr/>
        <w:t>The text functions below work on message tags and literals. A character position counts from 1, and a count that runs past the end of the text stops there.</w:t>
      </w:r>
    </w:p>
    <w:p>
      <w:pPr>
        <w:pStyle w:val="Caption"/>
        <w:keepNext w:val="true"/>
        <w:rPr/>
      </w:pPr>
      <w:r>
        <w:rPr/>
        <w:t>Table 16. Text functions (links and scripts)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69"/>
        <w:gridCol w:w="1350"/>
        <w:gridCol w:w="5540"/>
      </w:tblGrid>
      <w:tr>
        <w:trPr>
          <w:tblHeader w:val="true"/>
          <w:cantSplit w:val="true"/>
        </w:trPr>
        <w:tc>
          <w:tcPr>
            <w:tcW w:w="24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StringLeft(text,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br/>
              <w:t>count: a number</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first count characters. </w:t>
            </w:r>
            <w:r>
              <w:rPr>
                <w:rFonts w:cs="" w:ascii="Consolas" w:hAnsi="Consolas"/>
                <w:kern w:val="0"/>
                <w:sz w:val="20"/>
                <w:szCs w:val="22"/>
                <w:lang w:val="en-US" w:eastAsia="en-US" w:bidi="ar-SA"/>
              </w:rPr>
              <w:t>StringLeft(_DateTime, 10)</w:t>
            </w:r>
            <w:r>
              <w:rPr>
                <w:rFonts w:cs=""/>
                <w:kern w:val="0"/>
                <w:sz w:val="20"/>
                <w:szCs w:val="22"/>
                <w:lang w:val="en-US" w:eastAsia="en-US" w:bidi="ar-SA"/>
              </w:rPr>
              <w:t xml:space="preserve"> is the date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StringRight(text,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last count characters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StringMid(text, start,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start,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count characters from position start. </w:t>
            </w:r>
            <w:r>
              <w:rPr>
                <w:rFonts w:cs="" w:ascii="Consolas" w:hAnsi="Consolas"/>
                <w:kern w:val="0"/>
                <w:sz w:val="20"/>
                <w:szCs w:val="22"/>
                <w:lang w:val="en-US" w:eastAsia="en-US" w:bidi="ar-SA"/>
              </w:rPr>
              <w:t>StringMid(_DateTime, 12, 8)</w:t>
            </w:r>
            <w:r>
              <w:rPr>
                <w:rFonts w:cs=""/>
                <w:kern w:val="0"/>
                <w:sz w:val="20"/>
                <w:szCs w:val="22"/>
                <w:lang w:val="en-US" w:eastAsia="en-US" w:bidi="ar-SA"/>
              </w:rPr>
              <w:t xml:space="preserve"> is the time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StringTrim(text)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without the spaces at either end</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StringUpper(text), StringLower(text)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in capitals, or in small letters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StringInString(text, find)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position where find starts in text, or 0 when it is not there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StringReplace(text, find, with)</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 with</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 every occurrence of find replaced by with</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StringFromIntg(number, base)</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w:t>
              <w:br/>
              <w:t>base: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whole number as text, in base 2 to 36 (10 unless given). Base 16 gives small letters, so wrap it in StringUpper for FF</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StringFromReal(number, decimals, kind)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decimals</w:t>
              <w:br/>
              <w:t>kind: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as text with that many decimals. kind "f" is a plain number (the default), "e" is exponential, and "g" is the shorter of the two with trailing zeros dropped, counting significant digits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StringToIntg(text), StringToReal(text)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the text starts with, or 0 when it holds none, so an operator's typing cannot break them</w:t>
            </w:r>
          </w:p>
        </w:tc>
      </w:tr>
    </w:tbl>
    <w:p>
      <w:pPr>
        <w:pStyle w:val="Normal"/>
        <w:rPr/>
      </w:pPr>
      <w:r>
        <w:rPr/>
      </w:r>
    </w:p>
    <w:p>
      <w:pPr>
        <w:pStyle w:val="Caption"/>
        <w:keepNext w:val="true"/>
        <w:rPr/>
      </w:pPr>
      <w:r>
        <w:rPr/>
        <w:t>Table 17.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18.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9"/>
        <w:gridCol w:w="5569"/>
      </w:tblGrid>
      <w:tr>
        <w:trPr>
          <w:tblHeader w:val="true"/>
          <w:cantSplit w:val="true"/>
        </w:trPr>
        <w:tc>
          <w:tcPr>
            <w:tcW w:w="24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19.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1"/>
        <w:gridCol w:w="1349"/>
        <w:gridCol w:w="5830"/>
      </w:tblGrid>
      <w:tr>
        <w:trPr>
          <w:tblHeader w:val="true"/>
          <w:cantSplit w:val="true"/>
        </w:trPr>
        <w:tc>
          <w:tcPr>
            <w:tcW w:w="218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20.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8"/>
        <w:gridCol w:w="6378"/>
      </w:tblGrid>
      <w:tr>
        <w:trPr>
          <w:tblHeader w:val="true"/>
          <w:cantSplit w:val="true"/>
        </w:trPr>
        <w:tc>
          <w:tcPr>
            <w:tcW w:w="1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21.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22.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3"/>
        <w:gridCol w:w="1349"/>
        <w:gridCol w:w="5378"/>
      </w:tblGrid>
      <w:tr>
        <w:trPr>
          <w:tblHeader w:val="true"/>
          <w:cantSplit w:val="true"/>
        </w:trPr>
        <w:tc>
          <w:tcPr>
            <w:tcW w:w="2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Normal"/>
        <w:rPr/>
      </w:pPr>
      <w:r>
        <w:rPr/>
        <w:t xml:space="preserve">The </w:t>
      </w:r>
      <w:r>
        <w:rPr>
          <w:b/>
        </w:rPr>
        <w:t>database functions</w:t>
      </w:r>
      <w:r>
        <w:rPr/>
        <w:t xml:space="preserve"> read and write SQL databases. There are 40 of them, and chapter 13 describes them all; these are the ones most applications use:</w:t>
      </w:r>
    </w:p>
    <w:p>
      <w:pPr>
        <w:pStyle w:val="Caption"/>
        <w:keepNext w:val="true"/>
        <w:rPr/>
      </w:pPr>
      <w:r>
        <w:rPr/>
        <w:t>Table 23. Database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0"/>
        <w:gridCol w:w="2128"/>
        <w:gridCol w:w="4502"/>
      </w:tblGrid>
      <w:tr>
        <w:trPr>
          <w:tblHeader w:val="true"/>
          <w:cantSplit w:val="true"/>
        </w:trPr>
        <w:tc>
          <w:tcPr>
            <w:tcW w:w="27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5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source)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ConnIdTag: an analog tag</w:t>
              <w:br/>
              <w:t>source: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named by source and writes the connection number into ConnIdTag</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table, bindList: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one row from the current values of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the rest: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where and orderBy may be ""</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SQLFirst(ConnId), SQLNext(ConnId)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to the first or next row of the selection and writes it into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SQLErrorMsg(code)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code: a result code</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a result code means, as text to show the operator</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Normal"/>
        <w:rPr/>
      </w:pPr>
      <w:r>
        <w:rPr/>
        <w:t>Each one returns 0 when it worked and a negative result code when it did not, except SQLNumRows, which returns the number of rows, and SQLErrorMsg, which returns text. A failure also opens a Database Error window.</w:t>
      </w:r>
      <w:r>
        <w:br w:type="page"/>
      </w:r>
    </w:p>
    <w:p>
      <w:pPr>
        <w:pStyle w:val="Heading2"/>
        <w:rPr/>
      </w:pPr>
      <w:bookmarkStart w:id="25" w:name="__RefHeading___Toc6643_1652293764"/>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6" w:name="__RefHeading___Toc6645_1652293764"/>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7" w:name="__RefHeading___Toc6647_1652293764"/>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8" w:name="__RefHeading___Toc6649_1652293764"/>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24.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4"/>
        <w:gridCol w:w="1486"/>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rPr/>
      </w:pPr>
      <w:bookmarkStart w:id="29" w:name="__RefHeading___Toc6651_1652293764"/>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25.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5"/>
        <w:gridCol w:w="6475"/>
      </w:tblGrid>
      <w:tr>
        <w:trPr>
          <w:tblHeader w:val="true"/>
          <w:cantSplit w:val="true"/>
        </w:trPr>
        <w:tc>
          <w:tcPr>
            <w:tcW w:w="28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rPr/>
      </w:pPr>
      <w:bookmarkStart w:id="30" w:name="__RefHeading___Toc6653_1652293764"/>
      <w:bookmarkEnd w:id="30"/>
      <w:r>
        <w:rPr/>
        <w:t>10  Alarms and security</w:t>
      </w:r>
    </w:p>
    <w:p>
      <w:pPr>
        <w:pStyle w:val="Heading2"/>
        <w:rPr/>
      </w:pPr>
      <w:bookmarkStart w:id="31" w:name="__RefHeading___Toc6655_1652293764"/>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48).</w:t>
      </w:r>
    </w:p>
    <w:p>
      <w:pPr>
        <w:pStyle w:val="Heading2"/>
        <w:rPr/>
      </w:pPr>
      <w:bookmarkStart w:id="32" w:name="__RefHeading___Toc6657_1652293764"/>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25. The Users dialog with LiquidWeighHMI's three users</w:t>
      </w:r>
    </w:p>
    <w:p>
      <w:pPr>
        <w:pStyle w:val="Caption"/>
        <w:keepNext w:val="true"/>
        <w:rPr/>
      </w:pPr>
      <w:r>
        <w:rPr/>
        <w:t>Table 26.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6"/>
        <w:gridCol w:w="4918"/>
      </w:tblGrid>
      <w:tr>
        <w:trPr>
          <w:tblHeader w:val="true"/>
          <w:cantSplit w:val="true"/>
        </w:trPr>
        <w:tc>
          <w:tcPr>
            <w:tcW w:w="22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26);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26. The login window opened by ShowLogin()</w:t>
      </w:r>
    </w:p>
    <w:p>
      <w:pPr>
        <w:pStyle w:val="Heading1"/>
        <w:rPr/>
      </w:pPr>
      <w:bookmarkStart w:id="33" w:name="__RefHeading___Toc6659_1652293764"/>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6661_1652293764"/>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27.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The starting recipes of Plasticizer Blends, below its tags</w:t>
      </w:r>
    </w:p>
    <w:p>
      <w:pPr>
        <w:pStyle w:val="Caption"/>
        <w:keepNext w:val="true"/>
        <w:rPr/>
      </w:pPr>
      <w:r>
        <w:rPr/>
        <w:t>Table 28.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5"/>
        <w:gridCol w:w="1601"/>
        <w:gridCol w:w="1944"/>
        <w:gridCol w:w="1945"/>
        <w:gridCol w:w="1946"/>
      </w:tblGrid>
      <w:tr>
        <w:trPr>
          <w:tblHeader w:val="true"/>
          <w:cantSplit w:val="true"/>
        </w:trPr>
        <w:tc>
          <w:tcPr>
            <w:tcW w:w="19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5" w:name="__RefHeading___Toc6663_1652293764"/>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29.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29.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4"/>
        <w:gridCol w:w="2890"/>
      </w:tblGrid>
      <w:tr>
        <w:trPr>
          <w:tblHeader w:val="true"/>
          <w:cantSplit w:val="true"/>
        </w:trPr>
        <w:tc>
          <w:tcPr>
            <w:tcW w:w="20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30. RecipeDelete with confirm: the operator answers before anything is deleted</w:t>
      </w:r>
      <w:r>
        <w:br w:type="page"/>
      </w:r>
    </w:p>
    <w:p>
      <w:pPr>
        <w:pStyle w:val="Heading2"/>
        <w:rPr/>
      </w:pPr>
      <w:bookmarkStart w:id="36" w:name="__RefHeading___Toc6665_1652293764"/>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31. The Recipe List settings of the Recipes screen's list</w:t>
      </w:r>
    </w:p>
    <w:p>
      <w:pPr>
        <w:pStyle w:val="Caption"/>
        <w:keepNext w:val="true"/>
        <w:rPr/>
      </w:pPr>
      <w:r>
        <w:rPr/>
        <w:t>Table 30.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7" w:name="__RefHeading___Toc6667_1652293764"/>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32.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8" w:name="__RefHeading___Toc6669_1652293764"/>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33.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9" w:name="__RefHeading___Toc6671_1652293764"/>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31.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7"/>
        <w:gridCol w:w="5113"/>
      </w:tblGrid>
      <w:tr>
        <w:trPr>
          <w:tblHeader w:val="true"/>
          <w:cantSplit w:val="true"/>
        </w:trPr>
        <w:tc>
          <w:tcPr>
            <w:tcW w:w="42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6673_1652293764"/>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6675_1652293764"/>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34. The settings of LiquidWeighHMI's trend, with its first pens</w:t>
      </w:r>
    </w:p>
    <w:p>
      <w:pPr>
        <w:pStyle w:val="Caption"/>
        <w:keepNext w:val="true"/>
        <w:rPr/>
      </w:pPr>
      <w:r>
        <w:rPr/>
        <w:t>Table 32.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5"/>
        <w:gridCol w:w="1592"/>
        <w:gridCol w:w="6112"/>
      </w:tblGrid>
      <w:tr>
        <w:trPr>
          <w:tblHeader w:val="true"/>
          <w:cantSplit w:val="true"/>
        </w:trPr>
        <w:tc>
          <w:tcPr>
            <w:tcW w:w="16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6677_1652293764"/>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33.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2"/>
        <w:gridCol w:w="1726"/>
        <w:gridCol w:w="802"/>
        <w:gridCol w:w="896"/>
        <w:gridCol w:w="3504"/>
      </w:tblGrid>
      <w:tr>
        <w:trPr>
          <w:tblHeader w:val="true"/>
          <w:cantSplit w:val="true"/>
        </w:trPr>
        <w:tc>
          <w:tcPr>
            <w:tcW w:w="2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p>
    <w:p>
      <w:pPr>
        <w:pStyle w:val="Heading2"/>
        <w:rPr/>
      </w:pPr>
      <w:bookmarkStart w:id="43" w:name="__RefHeading___Toc6679_1652293764"/>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35.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34.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1"/>
        <w:gridCol w:w="4839"/>
      </w:tblGrid>
      <w:tr>
        <w:trPr>
          <w:tblHeader w:val="true"/>
          <w:cantSplit w:val="true"/>
        </w:trPr>
        <w:tc>
          <w:tcPr>
            <w:tcW w:w="4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6681_1652293764"/>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36. The trend scrolled back with BACK: paused, with the times it shows, and the hopper pressure pen selected. The empty part on the left is before the application started</w:t>
      </w:r>
      <w:r>
        <w:br w:type="page"/>
      </w:r>
    </w:p>
    <w:p>
      <w:pPr>
        <w:pStyle w:val="Heading2"/>
        <w:rPr/>
      </w:pPr>
      <w:bookmarkStart w:id="45" w:name="__RefHeading___Toc6683_1652293764"/>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35.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6" w:name="__RefHeading___Toc6685_1652293764"/>
      <w:bookmarkEnd w:id="46"/>
      <w:r>
        <w:rPr/>
        <w:t>13  Databases</w:t>
      </w:r>
    </w:p>
    <w:p>
      <w:pPr>
        <w:pStyle w:val="Normal"/>
        <w:rPr/>
      </w:pPr>
      <w:r>
        <w:rPr/>
        <w:t xml:space="preserve">An application can read and write SQL databases from its scripts: log a batch as it finishes, keep a shift report, fetch the last records into a screen, look a part number up. Two kinds of database are supported, </w:t>
      </w:r>
      <w:r>
        <w:rPr>
          <w:b/>
        </w:rPr>
        <w:t>Microsoft SQL Server</w:t>
      </w:r>
      <w:r>
        <w:rPr/>
        <w:t xml:space="preserve"> and </w:t>
      </w:r>
      <w:r>
        <w:rPr>
          <w:b/>
        </w:rPr>
        <w:t>SQLite</w:t>
      </w:r>
      <w:r>
        <w:rPr/>
        <w:t>, a single file that needs no server at all.</w:t>
      </w:r>
    </w:p>
    <w:p>
      <w:pPr>
        <w:pStyle w:val="Normal"/>
        <w:rPr/>
      </w:pPr>
      <w:r>
        <w:rPr/>
        <w:t xml:space="preserve">Four things are set up in </w:t>
      </w:r>
      <w:r>
        <w:rPr>
          <w:b/>
        </w:rPr>
        <w:t>HMI &gt; Database</w:t>
      </w:r>
      <w:r>
        <w:rPr/>
        <w:t xml:space="preserve">, and the SQL functions work through them: </w:t>
      </w:r>
      <w:r>
        <w:rPr>
          <w:b/>
        </w:rPr>
        <w:t>data sources</w:t>
      </w:r>
      <w:r>
        <w:rPr/>
        <w:t xml:space="preserve"> (the databases the application can open), </w:t>
      </w:r>
      <w:r>
        <w:rPr>
          <w:b/>
        </w:rPr>
        <w:t>bind lists</w:t>
      </w:r>
      <w:r>
        <w:rPr/>
        <w:t xml:space="preserve"> (which tag goes in which column), </w:t>
      </w:r>
      <w:r>
        <w:rPr>
          <w:b/>
        </w:rPr>
        <w:t>table templates</w:t>
      </w:r>
      <w:r>
        <w:rPr/>
        <w:t xml:space="preserve"> (the shape of a table the application creates for itself) and </w:t>
      </w:r>
      <w:r>
        <w:rPr>
          <w:b/>
        </w:rPr>
        <w:t>queries</w:t>
      </w:r>
      <w:r>
        <w:rPr/>
        <w:t xml:space="preserve"> (statements kept in the project). LiquidWeighHMI uses all four to log every batch it completes.</w:t>
      </w:r>
    </w:p>
    <w:p>
      <w:pPr>
        <w:pStyle w:val="Normal"/>
        <w:keepNext w:val="true"/>
        <w:jc w:val="center"/>
        <w:rPr/>
      </w:pPr>
      <w:r>
        <w:rPr/>
        <w:drawing>
          <wp:inline distT="0" distB="0" distL="0" distR="0">
            <wp:extent cx="4206240" cy="31730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4206240" cy="3173095"/>
                    </a:xfrm>
                    <a:prstGeom prst="rect">
                      <a:avLst/>
                    </a:prstGeom>
                    <a:noFill/>
                  </pic:spPr>
                </pic:pic>
              </a:graphicData>
            </a:graphic>
          </wp:inline>
        </w:drawing>
      </w:r>
    </w:p>
    <w:p>
      <w:pPr>
        <w:pStyle w:val="Caption"/>
        <w:jc w:val="center"/>
        <w:rPr/>
      </w:pPr>
      <w:r>
        <w:rPr/>
        <w:t>Figure 37. HMI &gt; Database: the BatchDb data source of LiquidWeighHMI</w:t>
      </w:r>
      <w:r>
        <w:br w:type="page"/>
      </w:r>
    </w:p>
    <w:p>
      <w:pPr>
        <w:pStyle w:val="Heading2"/>
        <w:rPr/>
      </w:pPr>
      <w:bookmarkStart w:id="47" w:name="__RefHeading___Toc6687_1652293764"/>
      <w:bookmarkEnd w:id="47"/>
      <w:r>
        <w:rPr/>
        <w:t>13.1  Data sources</w:t>
      </w:r>
    </w:p>
    <w:p>
      <w:pPr>
        <w:pStyle w:val="Normal"/>
        <w:rPr/>
      </w:pPr>
      <w:r>
        <w:rPr/>
        <w:t xml:space="preserve">A data source is a database the application can open. </w:t>
      </w:r>
      <w:r>
        <w:rPr>
          <w:rFonts w:ascii="Consolas" w:hAnsi="Consolas"/>
          <w:sz w:val="19"/>
        </w:rPr>
        <w:t>SQLConnect</w:t>
      </w:r>
      <w:r>
        <w:rPr/>
        <w:t xml:space="preserve"> names one and hands back a connection number that every other function uses.</w:t>
      </w:r>
    </w:p>
    <w:p>
      <w:pPr>
        <w:pStyle w:val="Caption"/>
        <w:keepNext w:val="true"/>
        <w:rPr/>
      </w:pPr>
      <w:r>
        <w:rPr/>
        <w:t>Table 36. Data source settings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8"/>
        <w:gridCol w:w="1316"/>
        <w:gridCol w:w="5307"/>
      </w:tblGrid>
      <w:tr>
        <w:trPr>
          <w:tblHeader w:val="true"/>
          <w:cantSplit w:val="true"/>
        </w:trPr>
        <w:tc>
          <w:tcPr>
            <w:tcW w:w="27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3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Applies to</w:t>
            </w:r>
          </w:p>
        </w:tc>
        <w:tc>
          <w:tcPr>
            <w:tcW w:w="53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SQLConnect names, up to 64 characters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Kind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Microsoft SQL Server, or a SQLite file</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Server, Port, Database, User, Password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server is and who to log in as. The port is 1433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Instance 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named instance, in place of a port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Encrypt the connection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Accept any certificate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 by default, which is what a server with a self-signed certificate needs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 older TLS versions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older server that offers only a TLS version this PC refuses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Timeout (ms)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long a statement may take: 100 to 600,000. 15,000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 name, Kept in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SQLite</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file name, and whether it lives in the application data folder or in Documents</w:t>
            </w:r>
          </w:p>
        </w:tc>
      </w:tr>
    </w:tbl>
    <w:p>
      <w:pPr>
        <w:pStyle w:val="Normal"/>
        <w:rPr/>
      </w:pPr>
      <w:r>
        <w:rPr/>
      </w:r>
    </w:p>
    <w:p>
      <w:pPr>
        <w:pStyle w:val="Normal"/>
        <w:rPr/>
      </w:pPr>
      <w:r>
        <w:rPr>
          <w:b/>
        </w:rPr>
        <w:t>Test Connection</w:t>
      </w:r>
      <w:r>
        <w:rPr/>
        <w:t xml:space="preserve"> opens the data source and closes it again, and says what went wrong if it could not.</w:t>
      </w:r>
    </w:p>
    <w:p>
      <w:pPr>
        <w:pStyle w:val="Normal"/>
        <w:rPr/>
      </w:pPr>
      <w:r>
        <w:rPr/>
        <w:t xml:space="preserve">A SQLite data source names a </w:t>
      </w:r>
      <w:r>
        <w:rPr>
          <w:b/>
        </w:rPr>
        <w:t>file and a folder, never a path</w:t>
      </w:r>
      <w:r>
        <w:rPr/>
        <w:t>: an absolute path names one PC's account, and a published application runs on another PC, often as another user. The file is created the first time something writes to it. Documents is the place for a file somebody will open with another tool; the application data folder is the place for one that is the application's own business.</w:t>
      </w:r>
    </w:p>
    <w:p>
      <w:pPr>
        <w:pStyle w:val="Normal"/>
        <w:ind w:left="360"/>
        <w:rPr/>
      </w:pPr>
      <w:r>
        <w:rPr>
          <w:b/>
          <w:color w:val="1F5F99"/>
        </w:rPr>
        <w:t xml:space="preserve">Note: </w:t>
      </w:r>
      <w:r>
        <w:rPr/>
        <w:t xml:space="preserve">A password kept in the project is </w:t>
      </w:r>
      <w:r>
        <w:rPr>
          <w:b/>
        </w:rPr>
        <w:t>obfuscated, not protected</w:t>
      </w:r>
      <w:r>
        <w:rPr/>
        <w:t xml:space="preserve">: it is out of plain sight, and anyone with the project file and this product can read it back. Where that is not good enough, leave it empty and give each PC its own in the </w:t>
      </w:r>
      <w:r>
        <w:rPr>
          <w:b/>
        </w:rPr>
        <w:t>On this computer</w:t>
      </w:r>
      <w:r>
        <w:rPr/>
        <w:t xml:space="preserve"> section of the same dialog, which is kept outside the project and wins over it. HMI &gt; Clear Database Passwords forgets what this PC holds.</w:t>
      </w:r>
      <w:r>
        <w:br w:type="page"/>
      </w:r>
    </w:p>
    <w:p>
      <w:pPr>
        <w:pStyle w:val="Heading2"/>
        <w:rPr/>
      </w:pPr>
      <w:bookmarkStart w:id="48" w:name="__RefHeading___Toc6689_1652293764"/>
      <w:bookmarkEnd w:id="48"/>
      <w:r>
        <w:rPr/>
        <w:t>13.2  Bind lists</w:t>
      </w:r>
    </w:p>
    <w:p>
      <w:pPr>
        <w:pStyle w:val="Normal"/>
        <w:rPr/>
      </w:pPr>
      <w:r>
        <w:rPr/>
        <w:t xml:space="preserve">A bind list pairs a tag with a database column. It works in both directions: a </w:t>
      </w:r>
      <w:r>
        <w:rPr>
          <w:b/>
        </w:rPr>
        <w:t>select writes the columns into the tags</w:t>
      </w:r>
      <w:r>
        <w:rPr/>
        <w:t xml:space="preserve">, and an </w:t>
      </w:r>
      <w:r>
        <w:rPr>
          <w:b/>
        </w:rPr>
        <w:t>insert or update reads the tags into the columns</w:t>
      </w:r>
      <w:r>
        <w:rPr/>
        <w:t>. The order of the rows is the order of the columns.</w:t>
      </w:r>
    </w:p>
    <w:p>
      <w:pPr>
        <w:pStyle w:val="Normal"/>
        <w:keepNext w:val="true"/>
        <w:jc w:val="center"/>
        <w:rPr/>
      </w:pPr>
      <w:r>
        <w:rPr/>
        <w:drawing>
          <wp:inline distT="0" distB="0" distL="0" distR="0">
            <wp:extent cx="4206240" cy="317309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4206240" cy="3173095"/>
                    </a:xfrm>
                    <a:prstGeom prst="rect">
                      <a:avLst/>
                    </a:prstGeom>
                    <a:noFill/>
                  </pic:spPr>
                </pic:pic>
              </a:graphicData>
            </a:graphic>
          </wp:inline>
        </w:drawing>
      </w:r>
    </w:p>
    <w:p>
      <w:pPr>
        <w:pStyle w:val="Caption"/>
        <w:jc w:val="center"/>
        <w:rPr/>
      </w:pPr>
      <w:r>
        <w:rPr/>
        <w:t>Figure 38. The BatchRow bind list: each batch tag against its column</w:t>
      </w:r>
    </w:p>
    <w:p>
      <w:pPr>
        <w:pStyle w:val="Normal"/>
        <w:rPr/>
      </w:pPr>
      <w:r>
        <w:rPr/>
        <w:t xml:space="preserve">A row can read a </w:t>
      </w:r>
      <w:r>
        <w:rPr>
          <w:b/>
        </w:rPr>
        <w:t>dotfield</w:t>
      </w:r>
      <w:r>
        <w:rPr/>
        <w:t xml:space="preserve"> instead of the tag's value, such as </w:t>
      </w:r>
      <w:r>
        <w:rPr>
          <w:rFonts w:ascii="Consolas" w:hAnsi="Consolas"/>
          <w:sz w:val="19"/>
        </w:rPr>
        <w:t>TimeDate</w:t>
      </w:r>
      <w:r>
        <w:rPr/>
        <w:t xml:space="preserve"> or </w:t>
      </w:r>
      <w:r>
        <w:rPr>
          <w:rFonts w:ascii="Consolas" w:hAnsi="Consolas"/>
          <w:sz w:val="19"/>
        </w:rPr>
        <w:t>InAlarm</w:t>
      </w:r>
      <w:r>
        <w:rPr/>
        <w:t>. A dotfield can only be read, so such a row is filled on an insert and skipped when rows are fetched.</w:t>
      </w:r>
    </w:p>
    <w:p>
      <w:pPr>
        <w:pStyle w:val="ListBullet"/>
        <w:numPr>
          <w:ilvl w:val="0"/>
          <w:numId w:val="1"/>
        </w:numPr>
        <w:rPr/>
      </w:pPr>
      <w:r>
        <w:rPr/>
        <w:t xml:space="preserve">Values travel as </w:t>
      </w:r>
      <w:r>
        <w:rPr>
          <w:b/>
        </w:rPr>
        <w:t>parameters</w:t>
      </w:r>
      <w:r>
        <w:rPr/>
        <w:t>, never as text pasted into the statement, so nothing needs quoting and a tag holding an apostrophe cannot rewrite the statement.</w:t>
      </w:r>
    </w:p>
    <w:p>
      <w:pPr>
        <w:pStyle w:val="ListBullet"/>
        <w:numPr>
          <w:ilvl w:val="0"/>
          <w:numId w:val="1"/>
        </w:numPr>
        <w:rPr/>
      </w:pPr>
      <w:r>
        <w:rPr/>
        <w:t xml:space="preserve">An insert sends the tags' </w:t>
      </w:r>
      <w:r>
        <w:rPr>
          <w:b/>
        </w:rPr>
        <w:t>current</w:t>
      </w:r>
      <w:r>
        <w:rPr/>
        <w:t xml:space="preserve"> values. Every bind list's tags are watched from the moment the application starts, whether or not any window shows them, so a batch log records points nobody is watching.</w:t>
      </w:r>
    </w:p>
    <w:p>
      <w:pPr>
        <w:pStyle w:val="ListBullet"/>
        <w:numPr>
          <w:ilvl w:val="0"/>
          <w:numId w:val="1"/>
        </w:numPr>
        <w:rPr/>
      </w:pPr>
      <w:r>
        <w:rPr/>
        <w:t>A value of bad quality is written as a null, and noted in the runtime log: one tag of twenty may be on a link that is down, and a record with a null in it still says what was known.</w:t>
      </w:r>
    </w:p>
    <w:p>
      <w:pPr>
        <w:pStyle w:val="ListBullet"/>
        <w:numPr>
          <w:ilvl w:val="0"/>
          <w:numId w:val="1"/>
        </w:numPr>
        <w:rPr/>
      </w:pPr>
      <w:r>
        <w:rPr/>
        <w:t xml:space="preserve">A bind list names tags from the Tag Dictionary, so a system tag cannot be in one. To stamp a row with the time, use a tag's TimeDate dotfield, copy </w:t>
      </w:r>
      <w:r>
        <w:rPr>
          <w:rFonts w:ascii="Consolas" w:hAnsi="Consolas"/>
          <w:sz w:val="19"/>
        </w:rPr>
        <w:t>_DateTime</w:t>
      </w:r>
      <w:r>
        <w:rPr/>
        <w:t xml:space="preserve"> into a message tag just before the insert, or let the database stamp it with GETDATE() or CURRENT_TIMESTAMP in a statement of your own.</w:t>
      </w:r>
      <w:r>
        <w:br w:type="page"/>
      </w:r>
    </w:p>
    <w:p>
      <w:pPr>
        <w:pStyle w:val="Heading2"/>
        <w:rPr/>
      </w:pPr>
      <w:bookmarkStart w:id="49" w:name="__RefHeading___Toc6691_1652293764"/>
      <w:bookmarkEnd w:id="49"/>
      <w:r>
        <w:rPr/>
        <w:t>13.3  Table templates and queries</w:t>
      </w:r>
    </w:p>
    <w:p>
      <w:pPr>
        <w:pStyle w:val="Normal"/>
        <w:rPr/>
      </w:pPr>
      <w:r>
        <w:rPr/>
        <w:t xml:space="preserve">A </w:t>
      </w:r>
      <w:r>
        <w:rPr>
          <w:b/>
        </w:rPr>
        <w:t>table template</w:t>
      </w:r>
      <w:r>
        <w:rPr/>
        <w:t xml:space="preserve"> is the shape of a table, so an application can create the table it needs the first time it runs instead of somebody creating it by hand on every PC. Each column has a name, a type, a length or precision, whether it is indexed and whether it may be empty. </w:t>
      </w:r>
      <w:r>
        <w:rPr>
          <w:rFonts w:ascii="Consolas" w:hAnsi="Consolas"/>
          <w:sz w:val="19"/>
        </w:rPr>
        <w:t>SQLCreateTable</w:t>
      </w:r>
      <w:r>
        <w:rPr/>
        <w:t xml:space="preserve"> creates the table and one index per column that asks for one. The types are the Studio's own, and each database gets whatever it wants:</w:t>
      </w:r>
    </w:p>
    <w:p>
      <w:pPr>
        <w:pStyle w:val="Caption"/>
        <w:keepNext w:val="true"/>
        <w:rPr/>
      </w:pPr>
      <w:r>
        <w:rPr/>
        <w:t>Table 37. Column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4"/>
        <w:gridCol w:w="3424"/>
        <w:gridCol w:w="3772"/>
      </w:tblGrid>
      <w:tr>
        <w:trPr>
          <w:tblHeader w:val="true"/>
          <w:cantSplit w:val="true"/>
        </w:trPr>
        <w:tc>
          <w:tcPr>
            <w:tcW w:w="216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Microsoft SQL Server</w:t>
            </w:r>
          </w:p>
        </w:tc>
        <w:tc>
          <w:tcPr>
            <w:tcW w:w="37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SQLite</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NVARCHAR(length), 255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Whole 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FLOAT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Decimal</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DECIMAL(precision, scale), 18 and 2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NUMERIC</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or off</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BIT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 Time, Date and time</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DATE, TIME, DATETIME</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(ISO 8601, which SQLite's date functions read)</w:t>
            </w:r>
          </w:p>
        </w:tc>
      </w:tr>
    </w:tbl>
    <w:p>
      <w:pPr>
        <w:pStyle w:val="Normal"/>
        <w:rPr/>
      </w:pPr>
      <w:r>
        <w:rPr/>
      </w:r>
    </w:p>
    <w:p>
      <w:pPr>
        <w:pStyle w:val="Normal"/>
        <w:rPr/>
      </w:pPr>
      <w:r>
        <w:rPr/>
        <w:t>A table that is already there is left as it is, so the ordinary way to use this is to call SQLCreateTable in the application's On start script every time it runs: the first run makes the table and every later one finds it. Nothing is altered, so a table whose columns have since changed is not brought up to date.</w:t>
      </w:r>
    </w:p>
    <w:p>
      <w:pPr>
        <w:pStyle w:val="Normal"/>
        <w:rPr/>
      </w:pPr>
      <w:r>
        <w:rPr/>
        <w:t xml:space="preserve">A </w:t>
      </w:r>
      <w:r>
        <w:rPr>
          <w:b/>
        </w:rPr>
        <w:t>query</w:t>
      </w:r>
      <w:r>
        <w:rPr/>
        <w:t xml:space="preserve"> is a statement kept in the project by name, loaded with </w:t>
      </w:r>
      <w:r>
        <w:rPr>
          <w:rFonts w:ascii="Consolas" w:hAnsi="Consolas"/>
          <w:sz w:val="19"/>
        </w:rPr>
        <w:t>SQLLoadStatement</w:t>
      </w:r>
      <w:r>
        <w:rPr/>
        <w:t xml:space="preserve">. It lives in the project rather than in a .sql file beside the installer, because a path names one PC's disk and a file somebody can edit is a file somebody can edit. A </w:t>
      </w:r>
      <w:r>
        <w:rPr>
          <w:rFonts w:ascii="Consolas" w:hAnsi="Consolas"/>
          <w:sz w:val="19"/>
        </w:rPr>
        <w:t>?</w:t>
      </w:r>
      <w:r>
        <w:rPr/>
        <w:t xml:space="preserve"> in a statement marks a parameter to be set before it runs.</w:t>
      </w:r>
      <w:r>
        <w:br w:type="page"/>
      </w:r>
    </w:p>
    <w:p>
      <w:pPr>
        <w:pStyle w:val="Heading2"/>
        <w:rPr/>
      </w:pPr>
      <w:bookmarkStart w:id="50" w:name="__RefHeading___Toc6693_1652293764"/>
      <w:bookmarkEnd w:id="50"/>
      <w:r>
        <w:rPr/>
        <w:t>13.4  The script functions</w:t>
      </w:r>
    </w:p>
    <w:p>
      <w:pPr>
        <w:pStyle w:val="Normal"/>
        <w:rPr/>
      </w:pPr>
      <w:r>
        <w:rPr/>
        <w:t xml:space="preserve">Every SQL function returns a </w:t>
      </w:r>
      <w:r>
        <w:rPr>
          <w:b/>
        </w:rPr>
        <w:t>result code</w:t>
      </w:r>
      <w:r>
        <w:rPr/>
        <w:t xml:space="preserve">: 0 when it worked, a negative number when it did not. </w:t>
      </w:r>
      <w:r>
        <w:rPr>
          <w:rFonts w:ascii="Consolas" w:hAnsi="Consolas"/>
          <w:sz w:val="19"/>
        </w:rPr>
        <w:t>SQLErrorMsg(code)</w:t>
      </w:r>
      <w:r>
        <w:rPr/>
        <w:t xml:space="preserve"> turns a code into words for a message tag, and </w:t>
      </w:r>
      <w:r>
        <w:rPr>
          <w:rFonts w:ascii="Consolas" w:hAnsi="Consolas"/>
          <w:sz w:val="19"/>
        </w:rPr>
        <w:t>SQLErrorMsg(-1)</w:t>
      </w:r>
      <w:r>
        <w:rPr/>
        <w:t xml:space="preserve"> gives the database's own words for the last failure. A failure also opens a </w:t>
      </w:r>
      <w:r>
        <w:rPr>
          <w:b/>
        </w:rPr>
        <w:t>Database Error</w:t>
      </w:r>
      <w:r>
        <w:rPr/>
        <w:t xml:space="preserve"> window naming the call and the reason, so an operator is never left with a number alone.</w:t>
      </w:r>
    </w:p>
    <w:p>
      <w:pPr>
        <w:pStyle w:val="Normal"/>
        <w:spacing w:before="0" w:after="0"/>
        <w:ind w:left="432"/>
        <w:rPr/>
      </w:pPr>
      <w:r>
        <w:rPr>
          <w:rFonts w:ascii="Consolas" w:hAnsi="Consolas"/>
          <w:sz w:val="19"/>
        </w:rPr>
        <w:t>Res = SQLInsert(ConnId, "BatchLog", "BatchRow");</w:t>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ENDIF;</w:t>
      </w:r>
    </w:p>
    <w:p>
      <w:pPr>
        <w:pStyle w:val="Normal"/>
        <w:rPr/>
      </w:pPr>
      <w:r>
        <w:rPr/>
      </w:r>
    </w:p>
    <w:p>
      <w:pPr>
        <w:pStyle w:val="Normal"/>
        <w:rPr/>
      </w:pPr>
      <w:r>
        <w:rPr/>
        <w:t>The functions that reach a database pause the script until it answers, like ShowRecipeSelect, so they must be a statement on their own or the whole right side of an assignment. Moving through rows already fetched, building a statement and setting a parameter are immediate.</w:t>
      </w:r>
    </w:p>
    <w:p>
      <w:pPr>
        <w:pStyle w:val="Caption"/>
        <w:keepNext w:val="true"/>
        <w:rPr/>
      </w:pPr>
      <w:r>
        <w:rPr/>
        <w:t>Table 38. Connecting</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7"/>
        <w:gridCol w:w="6943"/>
      </w:tblGrid>
      <w:tr>
        <w:trPr>
          <w:tblHeader w:val="true"/>
          <w:cantSplit w:val="true"/>
        </w:trPr>
        <w:tc>
          <w:tcPr>
            <w:tcW w:w="24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94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"DataSource")</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and writes the connection number into ConnIdTag, an analog tag. Up to 8 connections at once; everything is closed when the application stops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Caption"/>
        <w:keepNext w:val="true"/>
        <w:rPr/>
      </w:pPr>
      <w:r>
        <w:rPr/>
        <w:t>Table 39. Reading rows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1"/>
        <w:gridCol w:w="6189"/>
      </w:tblGrid>
      <w:tr>
        <w:trPr>
          <w:tblHeader w:val="true"/>
          <w:cantSplit w:val="true"/>
        </w:trPr>
        <w:tc>
          <w:tcPr>
            <w:tcW w:w="31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Either expression may be "". The rows are held by the application, so walking them costs nothing</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 / SQLNext / SQLPrev / SQLLast (ConnId)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cursor and writes that row into the bind list's tags. -5 when there is no such row, which is how a walk ends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SQLGetRecord(ConnId, n)</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at number n, counting from 1</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SQLNumRows(ConnId)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many rows were found. This one returns the count, not a result code</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SQLEnd(ConnId)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Lets the rows go</w:t>
            </w:r>
          </w:p>
        </w:tc>
      </w:tr>
    </w:tbl>
    <w:p>
      <w:pPr>
        <w:pStyle w:val="Normal"/>
        <w:rPr/>
      </w:pPr>
      <w:r>
        <w:rPr/>
      </w:r>
    </w:p>
    <w:p>
      <w:pPr>
        <w:pStyle w:val="Caption"/>
        <w:keepNext w:val="true"/>
        <w:rPr/>
      </w:pPr>
      <w:r>
        <w:rPr/>
        <w:t>Table 40. Writing rows and tables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3"/>
        <w:gridCol w:w="6657"/>
      </w:tblGrid>
      <w:tr>
        <w:trPr>
          <w:tblHeader w:val="true"/>
          <w:cantSplit w:val="true"/>
        </w:trPr>
        <w:tc>
          <w:tcPr>
            <w:tcW w:w="27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65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new row from the current values of the bind list's tags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SQLUpdate(ConnId, "Table", "BindList",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Sets those columns in the rows the where expression matches. An empty expression is refused, so an update cannot change every row by accident</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SQLUpdateCurrent(ConnId)</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bind list's tags back into the row the cursor is on</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SQLDelete(ConnId, "Table",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rows the expression matches; an empty one is refused</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SQLClearTable(ConnId,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row, deliberately. The table stays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SQLCreateTable(ConnId, "Table", "Template")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table shaped by one of the project's templates; a table that is already there is left alone</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SQLDropTable(ConnId,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table and everything in it</w:t>
            </w:r>
          </w:p>
        </w:tc>
      </w:tr>
    </w:tbl>
    <w:p>
      <w:pPr>
        <w:pStyle w:val="Normal"/>
        <w:rPr/>
      </w:pPr>
      <w:r>
        <w:rPr/>
      </w:r>
    </w:p>
    <w:p>
      <w:pPr>
        <w:pStyle w:val="Normal"/>
        <w:rPr/>
      </w:pPr>
      <w:r>
        <w:rPr/>
        <w:t xml:space="preserve">A script can also build statements of its own. </w:t>
      </w:r>
      <w:r>
        <w:rPr>
          <w:rFonts w:ascii="Consolas" w:hAnsi="Consolas"/>
          <w:sz w:val="19"/>
        </w:rPr>
        <w:t>SQLSetStatement</w:t>
      </w:r>
      <w:r>
        <w:rPr/>
        <w:t xml:space="preserve"> starts the connection's statement buffer and </w:t>
      </w:r>
      <w:r>
        <w:rPr>
          <w:rFonts w:ascii="Consolas" w:hAnsi="Consolas"/>
          <w:sz w:val="19"/>
        </w:rPr>
        <w:t>SQLAppendStatement</w:t>
      </w:r>
      <w:r>
        <w:rPr/>
        <w:t xml:space="preserve"> adds to it (nothing is put between the pieces); </w:t>
      </w:r>
      <w:r>
        <w:rPr>
          <w:rFonts w:ascii="Consolas" w:hAnsi="Consolas"/>
          <w:sz w:val="19"/>
        </w:rPr>
        <w:t>SQLLoadStatement</w:t>
      </w:r>
      <w:r>
        <w:rPr/>
        <w:t xml:space="preserve"> fills it from one of the project's queries; </w:t>
      </w:r>
      <w:r>
        <w:rPr>
          <w:rFonts w:ascii="Consolas" w:hAnsi="Consolas"/>
          <w:sz w:val="19"/>
        </w:rPr>
        <w:t>SQLPrepareStatement</w:t>
      </w:r>
      <w:r>
        <w:rPr/>
        <w:t xml:space="preserve"> turns it into a statement with a number, so it can be run again with other values; and </w:t>
      </w:r>
      <w:r>
        <w:rPr>
          <w:rFonts w:ascii="Consolas" w:hAnsi="Consolas"/>
          <w:sz w:val="19"/>
        </w:rPr>
        <w:t>SQLExecute(ConnId, "BindList", StmtId)</w:t>
      </w:r>
      <w:r>
        <w:rPr/>
        <w:t xml:space="preserve"> runs it, statement 0 being the buffer itself. A statement that returns rows fills them in through the bind list named there, and "" says the rows are not for tags.</w:t>
      </w:r>
    </w:p>
    <w:p>
      <w:pPr>
        <w:pStyle w:val="Normal"/>
        <w:rPr/>
      </w:pPr>
      <w:r>
        <w:rPr/>
        <w:t xml:space="preserve">Each </w:t>
      </w:r>
      <w:r>
        <w:rPr>
          <w:rFonts w:ascii="Consolas" w:hAnsi="Consolas"/>
          <w:sz w:val="19"/>
        </w:rPr>
        <w:t>?</w:t>
      </w:r>
      <w:r>
        <w:rPr/>
        <w:t xml:space="preserve"> in a prepared statement is given a value with the </w:t>
      </w:r>
      <w:r>
        <w:rPr>
          <w:b/>
        </w:rPr>
        <w:t>SQLSetParam</w:t>
      </w:r>
      <w:r>
        <w:rPr/>
        <w:t xml:space="preserve"> family before it runs: </w:t>
      </w:r>
      <w:r>
        <w:rPr>
          <w:rFonts w:ascii="Consolas" w:hAnsi="Consolas"/>
          <w:sz w:val="19"/>
        </w:rPr>
        <w:t>SQLSetParamChar</w:t>
      </w:r>
      <w:r>
        <w:rPr/>
        <w:t xml:space="preserve">, </w:t>
      </w:r>
      <w:r>
        <w:rPr>
          <w:rFonts w:ascii="Consolas" w:hAnsi="Consolas"/>
          <w:sz w:val="19"/>
        </w:rPr>
        <w:t>SQLSetParamInt</w:t>
      </w:r>
      <w:r>
        <w:rPr/>
        <w:t xml:space="preserve">, </w:t>
      </w:r>
      <w:r>
        <w:rPr>
          <w:rFonts w:ascii="Consolas" w:hAnsi="Consolas"/>
          <w:sz w:val="19"/>
        </w:rPr>
        <w:t>SQLSetParamLong</w:t>
      </w:r>
      <w:r>
        <w:rPr/>
        <w:t xml:space="preserve">, </w:t>
      </w:r>
      <w:r>
        <w:rPr>
          <w:rFonts w:ascii="Consolas" w:hAnsi="Consolas"/>
          <w:sz w:val="19"/>
        </w:rPr>
        <w:t>SQLSetParamFloat</w:t>
      </w:r>
      <w:r>
        <w:rPr/>
        <w:t xml:space="preserve">, </w:t>
      </w:r>
      <w:r>
        <w:rPr>
          <w:rFonts w:ascii="Consolas" w:hAnsi="Consolas"/>
          <w:sz w:val="19"/>
        </w:rPr>
        <w:t>SQLSetParamDecimal</w:t>
      </w:r>
      <w:r>
        <w:rPr/>
        <w:t xml:space="preserve">, </w:t>
      </w:r>
      <w:r>
        <w:rPr>
          <w:rFonts w:ascii="Consolas" w:hAnsi="Consolas"/>
          <w:sz w:val="19"/>
        </w:rPr>
        <w:t>SQLSetParamDate</w:t>
      </w:r>
      <w:r>
        <w:rPr/>
        <w:t xml:space="preserve">, </w:t>
      </w:r>
      <w:r>
        <w:rPr>
          <w:rFonts w:ascii="Consolas" w:hAnsi="Consolas"/>
          <w:sz w:val="19"/>
        </w:rPr>
        <w:t>SQLSetParamTime</w:t>
      </w:r>
      <w:r>
        <w:rPr/>
        <w:t xml:space="preserve">, </w:t>
      </w:r>
      <w:r>
        <w:rPr>
          <w:rFonts w:ascii="Consolas" w:hAnsi="Consolas"/>
          <w:sz w:val="19"/>
        </w:rPr>
        <w:t>SQLSetParamDateTime</w:t>
      </w:r>
      <w:r>
        <w:rPr/>
        <w:t xml:space="preserve"> and </w:t>
      </w:r>
      <w:r>
        <w:rPr>
          <w:rFonts w:ascii="Consolas" w:hAnsi="Consolas"/>
          <w:sz w:val="19"/>
        </w:rPr>
        <w:t>SQLSetParamNull</w:t>
      </w:r>
      <w:r>
        <w:rPr/>
        <w:t xml:space="preserve">, each taking the statement number, the parameter number and the value. </w:t>
      </w:r>
      <w:r>
        <w:rPr>
          <w:rFonts w:ascii="Consolas" w:hAnsi="Consolas"/>
          <w:sz w:val="19"/>
        </w:rPr>
        <w:t>SQLClearParam</w:t>
      </w:r>
      <w:r>
        <w:rPr/>
        <w:t xml:space="preserve"> unsets one, and </w:t>
      </w:r>
      <w:r>
        <w:rPr>
          <w:rFonts w:ascii="Consolas" w:hAnsi="Consolas"/>
          <w:sz w:val="19"/>
        </w:rPr>
        <w:t>SQLClearStatement</w:t>
      </w:r>
      <w:r>
        <w:rPr/>
        <w:t xml:space="preserve"> lets a statement go. For a loop that writes a row per pass, </w:t>
      </w:r>
      <w:r>
        <w:rPr>
          <w:rFonts w:ascii="Consolas" w:hAnsi="Consolas"/>
          <w:sz w:val="19"/>
        </w:rPr>
        <w:t>SQLInsertPrepare</w:t>
      </w:r>
      <w:r>
        <w:rPr/>
        <w:t xml:space="preserve">, </w:t>
      </w:r>
      <w:r>
        <w:rPr>
          <w:rFonts w:ascii="Consolas" w:hAnsi="Consolas"/>
          <w:sz w:val="19"/>
        </w:rPr>
        <w:t>SQLInsertExecute</w:t>
      </w:r>
      <w:r>
        <w:rPr/>
        <w:t xml:space="preserve"> and </w:t>
      </w:r>
      <w:r>
        <w:rPr>
          <w:rFonts w:ascii="Consolas" w:hAnsi="Consolas"/>
          <w:sz w:val="19"/>
        </w:rPr>
        <w:t>SQLInsertEnd</w:t>
      </w:r>
      <w:r>
        <w:rPr/>
        <w:t xml:space="preserve"> do the same for an insert built from a bind list.</w:t>
      </w:r>
    </w:p>
    <w:p>
      <w:pPr>
        <w:pStyle w:val="Normal"/>
        <w:rPr/>
      </w:pPr>
      <w:r>
        <w:rPr>
          <w:rFonts w:ascii="Consolas" w:hAnsi="Consolas"/>
          <w:sz w:val="19"/>
        </w:rPr>
        <w:t>SQLTransact(ConnId)</w:t>
      </w:r>
      <w:r>
        <w:rPr/>
        <w:t xml:space="preserve">, </w:t>
      </w:r>
      <w:r>
        <w:rPr>
          <w:rFonts w:ascii="Consolas" w:hAnsi="Consolas"/>
          <w:sz w:val="19"/>
        </w:rPr>
        <w:t>SQLCommit(ConnId)</w:t>
      </w:r>
      <w:r>
        <w:rPr/>
        <w:t xml:space="preserve"> and </w:t>
      </w:r>
      <w:r>
        <w:rPr>
          <w:rFonts w:ascii="Consolas" w:hAnsi="Consolas"/>
          <w:sz w:val="19"/>
        </w:rPr>
        <w:t>SQLRollback(ConnId)</w:t>
      </w:r>
      <w:r>
        <w:rPr/>
        <w:t xml:space="preserve"> put several writes together: everything between the first and the second reaches the tables together, or not at all. An application that stops with a transaction open rolls it back.</w:t>
      </w:r>
      <w:r>
        <w:br w:type="page"/>
      </w:r>
    </w:p>
    <w:p>
      <w:pPr>
        <w:pStyle w:val="Heading2"/>
        <w:rPr/>
      </w:pPr>
      <w:bookmarkStart w:id="51" w:name="__RefHeading___Toc6695_1652293764"/>
      <w:bookmarkEnd w:id="51"/>
      <w:r>
        <w:rPr/>
        <w:t>13.5  The batch log in LiquidWeighHMI</w:t>
      </w:r>
    </w:p>
    <w:p>
      <w:pPr>
        <w:pStyle w:val="Normal"/>
        <w:rPr/>
      </w:pPr>
      <w:r>
        <w:rPr/>
        <w:t>LiquidWeighHMI writes a record of every batch to a SQLite file in the Documents folder of the PC that runs it, and shows them again on its Batch History screen. Nothing has to be installed or set up for it: the application makes its own file and its own table.</w:t>
      </w:r>
    </w:p>
    <w:p>
      <w:pPr>
        <w:pStyle w:val="Normal"/>
        <w:rPr/>
      </w:pPr>
      <w:r>
        <w:rPr/>
        <w:t xml:space="preserve">Its </w:t>
      </w:r>
      <w:r>
        <w:rPr>
          <w:b/>
        </w:rPr>
        <w:t>On start</w:t>
      </w:r>
      <w:r>
        <w:rPr/>
        <w:t xml:space="preserve"> application script opens the database and makes sure the table is there:</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res = SQLConnect(Db_ConnId, "BatchDb");</w:t>
      </w:r>
    </w:p>
    <w:p>
      <w:pPr>
        <w:pStyle w:val="Normal"/>
        <w:spacing w:before="0" w:after="0"/>
        <w:ind w:left="432"/>
        <w:rPr/>
      </w:pPr>
      <w:r>
        <w:rPr/>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res = SQLCreateTable(Db_ConnId, "BatchLog", "BatchLogTable");</w:t>
      </w:r>
    </w:p>
    <w:p>
      <w:pPr>
        <w:pStyle w:val="Normal"/>
        <w:spacing w:before="0" w:after="0"/>
        <w:ind w:left="432"/>
        <w:rPr/>
      </w:pPr>
      <w:r>
        <w:rPr>
          <w:rFonts w:ascii="Consolas" w:hAnsi="Consolas"/>
          <w:sz w:val="19"/>
        </w:rPr>
        <w:t xml:space="preserve">    </w:t>
      </w:r>
      <w:r>
        <w:rPr>
          <w:rFonts w:ascii="Consolas" w:hAnsi="Consolas"/>
          <w:sz w:val="19"/>
        </w:rPr>
        <w:t>Db_Status = "Logging batches to BatchDb";</w:t>
      </w:r>
    </w:p>
    <w:p>
      <w:pPr>
        <w:pStyle w:val="Normal"/>
        <w:spacing w:before="0" w:after="0"/>
        <w:ind w:left="432"/>
        <w:rPr/>
      </w:pPr>
      <w:r>
        <w:rPr>
          <w:rFonts w:ascii="Consolas" w:hAnsi="Consolas"/>
          <w:sz w:val="19"/>
        </w:rPr>
        <w:t>ENDIF;</w:t>
      </w:r>
    </w:p>
    <w:p>
      <w:pPr>
        <w:pStyle w:val="Normal"/>
        <w:rPr/>
      </w:pPr>
      <w:r>
        <w:rPr/>
      </w:r>
    </w:p>
    <w:p>
      <w:pPr>
        <w:pStyle w:val="Normal"/>
        <w:rPr/>
      </w:pPr>
      <w:r>
        <w:rPr/>
        <w:t xml:space="preserve">Its </w:t>
      </w:r>
      <w:r>
        <w:rPr>
          <w:b/>
        </w:rPr>
        <w:t>While running</w:t>
      </w:r>
      <w:r>
        <w:rPr/>
        <w:t xml:space="preserve"> script watches the controller's batch counter. When it moves on, a batch has finished: the script stamps the row from the clock, notes who was logged in and writes it through the BatchRow bind list.</w:t>
      </w:r>
    </w:p>
    <w:p>
      <w:pPr>
        <w:pStyle w:val="Normal"/>
        <w:spacing w:before="0" w:after="0"/>
        <w:ind w:left="432"/>
        <w:rPr/>
      </w:pPr>
      <w:r>
        <w:rPr>
          <w:rFonts w:ascii="Consolas" w:hAnsi="Consolas"/>
          <w:sz w:val="19"/>
        </w:rPr>
        <w:t>IF Bat_Count &lt;&gt; Db_LastCount AND Db_ConnId &gt; 0 THEN</w:t>
      </w:r>
    </w:p>
    <w:p>
      <w:pPr>
        <w:pStyle w:val="Normal"/>
        <w:spacing w:before="0" w:after="0"/>
        <w:ind w:left="432"/>
        <w:rPr/>
      </w:pPr>
      <w:r>
        <w:rPr>
          <w:rFonts w:ascii="Consolas" w:hAnsi="Consolas"/>
          <w:sz w:val="19"/>
        </w:rPr>
        <w:t xml:space="preserve">    </w:t>
      </w:r>
      <w:r>
        <w:rPr>
          <w:rFonts w:ascii="Consolas" w:hAnsi="Consolas"/>
          <w:sz w:val="19"/>
        </w:rPr>
        <w:t>Db_LastCount = Bat_Count;</w:t>
      </w:r>
    </w:p>
    <w:p>
      <w:pPr>
        <w:pStyle w:val="Normal"/>
        <w:spacing w:before="0" w:after="0"/>
        <w:ind w:left="432"/>
        <w:rPr/>
      </w:pPr>
      <w:r>
        <w:rPr>
          <w:rFonts w:ascii="Consolas" w:hAnsi="Consolas"/>
          <w:sz w:val="19"/>
        </w:rPr>
        <w:t xml:space="preserve">    </w:t>
      </w:r>
      <w:r>
        <w:rPr>
          <w:rFonts w:ascii="Consolas" w:hAnsi="Consolas"/>
          <w:sz w:val="19"/>
        </w:rPr>
        <w:t>Db_Stamp = _DateTime;</w:t>
      </w:r>
    </w:p>
    <w:p>
      <w:pPr>
        <w:pStyle w:val="Normal"/>
        <w:spacing w:before="0" w:after="0"/>
        <w:ind w:left="432"/>
        <w:rPr/>
      </w:pPr>
      <w:r>
        <w:rPr>
          <w:rFonts w:ascii="Consolas" w:hAnsi="Consolas"/>
          <w:sz w:val="19"/>
        </w:rPr>
        <w:t xml:space="preserve">    </w:t>
      </w:r>
      <w:r>
        <w:rPr>
          <w:rFonts w:ascii="Consolas" w:hAnsi="Consolas"/>
          <w:sz w:val="19"/>
        </w:rPr>
        <w:t>Db_Operator = _Username;</w:t>
      </w:r>
    </w:p>
    <w:p>
      <w:pPr>
        <w:pStyle w:val="Normal"/>
        <w:spacing w:before="0" w:after="0"/>
        <w:ind w:left="432"/>
        <w:rPr/>
      </w:pPr>
      <w:r>
        <w:rPr>
          <w:rFonts w:ascii="Consolas" w:hAnsi="Consolas"/>
          <w:sz w:val="19"/>
        </w:rPr>
        <w:t xml:space="preserve">    </w:t>
      </w:r>
      <w:r>
        <w:rPr>
          <w:rFonts w:ascii="Consolas" w:hAnsi="Consolas"/>
          <w:sz w:val="19"/>
        </w:rPr>
        <w:t>res = SQLInsert(Db_ConnId, "BatchLog", "BatchRow");</w:t>
      </w:r>
    </w:p>
    <w:p>
      <w:pPr>
        <w:pStyle w:val="Normal"/>
        <w:spacing w:before="0" w:after="0"/>
        <w:ind w:left="432"/>
        <w:rPr/>
      </w:pPr>
      <w:r>
        <w:rPr/>
      </w:r>
    </w:p>
    <w:p>
      <w:pPr>
        <w:pStyle w:val="Normal"/>
        <w:spacing w:before="0" w:after="0"/>
        <w:ind w:left="432"/>
        <w:rPr/>
      </w:pPr>
      <w:r>
        <w:rPr>
          <w:rFonts w:ascii="Consolas" w:hAnsi="Consolas"/>
          <w:sz w:val="19"/>
        </w:rPr>
        <w:t xml:space="preserve">    </w:t>
      </w: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Db_Status = "Batch " + StringFromIntg(Bat_Count) + " logged at " + _TimeString;</w:t>
      </w:r>
    </w:p>
    <w:p>
      <w:pPr>
        <w:pStyle w:val="Normal"/>
        <w:spacing w:before="0" w:after="0"/>
        <w:ind w:left="432"/>
        <w:rPr/>
      </w:pPr>
      <w:r>
        <w:rPr>
          <w:rFonts w:ascii="Consolas" w:hAnsi="Consolas"/>
          <w:sz w:val="19"/>
        </w:rPr>
        <w:t xml:space="preserve">    </w:t>
      </w: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w:t>
      </w:r>
      <w:r>
        <w:rPr>
          <w:b/>
        </w:rPr>
        <w:t>Batch History</w:t>
      </w:r>
      <w:r>
        <w:rPr/>
        <w:t xml:space="preserve"> screen, opened by the BATCH HISTORY button on the Batch screen, runs the project's RecentBatches query when it opens and shows one batch at a time. NEWEST, NEWER, OLDER and OLDEST move the cursor through the rows the query found, and each row lands in the tags of the BatchHistoryRow bind list, which is what the boxes show. REFRESH runs the query again.</w:t>
      </w:r>
    </w:p>
    <w:p>
      <w:pPr>
        <w:pStyle w:val="Normal"/>
        <w:spacing w:before="0" w:after="0"/>
        <w:ind w:left="432"/>
        <w:rPr/>
      </w:pPr>
      <w:r>
        <w:rPr>
          <w:rFonts w:ascii="Consolas" w:hAnsi="Consolas"/>
          <w:sz w:val="19"/>
        </w:rPr>
        <w:t>res = SQLLoadStatement(Db_ConnId, "RecentBatches");</w:t>
      </w:r>
    </w:p>
    <w:p>
      <w:pPr>
        <w:pStyle w:val="Normal"/>
        <w:spacing w:before="0" w:after="0"/>
        <w:ind w:left="432"/>
        <w:rPr/>
      </w:pPr>
      <w:r>
        <w:rPr/>
      </w:r>
    </w:p>
    <w:p>
      <w:pPr>
        <w:pStyle w:val="Normal"/>
        <w:spacing w:before="0" w:after="0"/>
        <w:ind w:left="432"/>
        <w:rPr/>
      </w:pP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res = SQLExecute(Db_ConnId, "BatchHistoryRow", 0);</w:t>
      </w:r>
    </w:p>
    <w:p>
      <w:pPr>
        <w:pStyle w:val="Normal"/>
        <w:spacing w:before="0" w:after="0"/>
        <w:ind w:left="432"/>
        <w:rPr/>
      </w:pPr>
      <w:r>
        <w:rPr>
          <w:rFonts w:ascii="Consolas" w:hAnsi="Consolas"/>
          <w:sz w:val="19"/>
        </w:rPr>
        <w:t>ENDIF;</w:t>
      </w:r>
    </w:p>
    <w:p>
      <w:pPr>
        <w:pStyle w:val="Normal"/>
        <w:spacing w:before="0" w:after="0"/>
        <w:ind w:left="432"/>
        <w:rPr/>
      </w:pPr>
      <w:r>
        <w:rPr/>
      </w:r>
    </w:p>
    <w:p>
      <w:pPr>
        <w:pStyle w:val="Normal"/>
        <w:spacing w:before="0" w:after="0"/>
        <w:ind w:left="432"/>
        <w:rPr/>
      </w:pPr>
      <w:r>
        <w:rPr>
          <w:rFonts w:ascii="Consolas" w:hAnsi="Consolas"/>
          <w:sz w:val="19"/>
        </w:rPr>
        <w:t>Db_Rows = SQLNumRows(Db_ConnId);</w:t>
      </w:r>
    </w:p>
    <w:p>
      <w:pPr>
        <w:pStyle w:val="Normal"/>
        <w:spacing w:before="0" w:after="0"/>
        <w:ind w:left="432"/>
        <w:rPr/>
      </w:pPr>
      <w:r>
        <w:rPr>
          <w:rFonts w:ascii="Consolas" w:hAnsi="Consolas"/>
          <w:sz w:val="19"/>
        </w:rPr>
        <w:t>res = SQLFirst(Db_ConnId);</w:t>
      </w:r>
    </w:p>
    <w:p>
      <w:pPr>
        <w:pStyle w:val="Normal"/>
        <w:rPr/>
      </w:pPr>
      <w:r>
        <w:rPr/>
      </w:r>
    </w:p>
    <w:p>
      <w:pPr>
        <w:pStyle w:val="Normal"/>
        <w:keepNext w:val="true"/>
        <w:jc w:val="center"/>
        <w:rPr/>
      </w:pPr>
      <w:r>
        <w:rPr/>
        <w:drawing>
          <wp:inline distT="0" distB="0" distL="0" distR="0">
            <wp:extent cx="5943600" cy="33464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6450"/>
                    </a:xfrm>
                    <a:prstGeom prst="rect">
                      <a:avLst/>
                    </a:prstGeom>
                    <a:noFill/>
                  </pic:spPr>
                </pic:pic>
              </a:graphicData>
            </a:graphic>
          </wp:inline>
        </w:drawing>
      </w:r>
    </w:p>
    <w:p>
      <w:pPr>
        <w:pStyle w:val="Caption"/>
        <w:jc w:val="center"/>
        <w:rPr/>
      </w:pPr>
      <w:r>
        <w:rPr/>
        <w:t>Figure 39. The Batch History screen of LiquidWeighHMISim, showing the newest of the batches it has logged</w:t>
      </w:r>
    </w:p>
    <w:p>
      <w:pPr>
        <w:pStyle w:val="Normal"/>
        <w:rPr/>
      </w:pPr>
      <w:r>
        <w:rPr/>
        <w:t>LiquidWeighHMISim logs the same way and needs neither a PLC nor a server, so it is the quickest way to see the whole thing work: open it, press START or AUTO CYCLE, and each batch appears on the Batch History screen as it finishes. The file can be opened with any SQLite tool while the application is running.</w:t>
      </w:r>
    </w:p>
    <w:p>
      <w:pPr>
        <w:pStyle w:val="Heading2"/>
        <w:rPr/>
      </w:pPr>
      <w:bookmarkStart w:id="52" w:name="__RefHeading___Toc6697_1652293764"/>
      <w:bookmarkEnd w:id="52"/>
      <w:r>
        <w:rPr/>
        <w:t>13.6  Where the rows are kept</w:t>
      </w:r>
    </w:p>
    <w:p>
      <w:pPr>
        <w:pStyle w:val="Normal"/>
        <w:rPr/>
      </w:pPr>
      <w:r>
        <w:rPr/>
        <w:t>Only the application itself talks to the database: the screens never do, and a password never reaches them. A SQLite file lives beside the application's other data:</w:t>
      </w:r>
    </w:p>
    <w:p>
      <w:pPr>
        <w:pStyle w:val="Caption"/>
        <w:keepNext w:val="true"/>
        <w:rPr/>
      </w:pPr>
      <w:r>
        <w:rPr/>
        <w:t>Table 41. Where a SQLite file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138"/>
        <w:gridCol w:w="5222"/>
      </w:tblGrid>
      <w:tr>
        <w:trPr>
          <w:tblHeader w:val="true"/>
          <w:cantSplit w:val="true"/>
        </w:trPr>
        <w:tc>
          <w:tcPr>
            <w:tcW w:w="41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2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 Studio's settings folder,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%APPDATA%\&lt;Product&gt;\databases,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their settings folder, or Documents</w:t>
            </w:r>
          </w:p>
        </w:tc>
      </w:tr>
    </w:tbl>
    <w:p>
      <w:pPr>
        <w:pStyle w:val="Normal"/>
        <w:rPr/>
      </w:pPr>
      <w:r>
        <w:rPr/>
      </w:r>
    </w:p>
    <w:p>
      <w:pPr>
        <w:pStyle w:val="Normal"/>
        <w:rPr/>
      </w:pPr>
      <w:r>
        <w:rPr/>
        <w:t>In Append HMI Web the application runs in the browser but the database work happens on the server, so the browser needs no database access and the credentials never leave the server. Each browser gets its own connections, as it gets its own login. Several browsers writing one table is what a database is for; for more than a handful, a server database is a better answer than a SQLite file.</w:t>
      </w:r>
    </w:p>
    <w:p>
      <w:pPr>
        <w:pStyle w:val="Normal"/>
        <w:ind w:left="360"/>
        <w:rPr/>
      </w:pPr>
      <w:r>
        <w:rPr>
          <w:b/>
          <w:color w:val="1F5F99"/>
        </w:rPr>
        <w:t xml:space="preserve">Note: </w:t>
      </w:r>
      <w:r>
        <w:rPr/>
        <w:t>Microsoft SQL Server's datetime column keeps about 1/300 of a second, so a stamp written as .969 reads back as .970. Where the exact millisecond matters, make the column datetime2 with a statement of your own.</w:t>
      </w:r>
    </w:p>
    <w:p>
      <w:pPr>
        <w:pStyle w:val="Heading1"/>
        <w:rPr/>
      </w:pPr>
      <w:bookmarkStart w:id="53" w:name="__RefHeading___Toc6699_1652293764"/>
      <w:bookmarkEnd w:id="53"/>
      <w:r>
        <w:rPr/>
        <w:t>14  Testing</w:t>
      </w:r>
    </w:p>
    <w:p>
      <w:pPr>
        <w:pStyle w:val="Heading2"/>
        <w:rPr/>
      </w:pPr>
      <w:bookmarkStart w:id="54" w:name="__RefHeading___Toc6701_1652293764"/>
      <w:bookmarkEnd w:id="54"/>
      <w:r>
        <w:rPr/>
        <w:t>14.1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40. Validation of LiquidWeighHMI: no problems found</w:t>
      </w:r>
      <w:r>
        <w:br w:type="page"/>
      </w:r>
    </w:p>
    <w:p>
      <w:pPr>
        <w:pStyle w:val="Heading2"/>
        <w:rPr/>
      </w:pPr>
      <w:bookmarkStart w:id="55" w:name="__RefHeading___Toc6703_1652293764"/>
      <w:bookmarkEnd w:id="55"/>
      <w:r>
        <w:rPr/>
        <w:t>14.2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41.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42. Process screen: tank and hopper levels, valve states, sequence and active alarms</w:t>
      </w:r>
    </w:p>
    <w:p>
      <w:pPr>
        <w:pStyle w:val="Normal"/>
        <w:keepNext w:val="true"/>
        <w:jc w:val="center"/>
        <w:rPr/>
      </w:pPr>
      <w:r>
        <w:rPr/>
        <w:drawing>
          <wp:inline distT="0" distB="0" distL="0" distR="0">
            <wp:extent cx="5943600" cy="33420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43. The Device Faceplate showing SV-001: mode, commands, interlocks and fault reset</w:t>
      </w:r>
    </w:p>
    <w:p>
      <w:pPr>
        <w:pStyle w:val="Normal"/>
        <w:keepNext w:val="true"/>
        <w:jc w:val="center"/>
        <w:rPr/>
      </w:pPr>
      <w:r>
        <w:rPr/>
        <w:drawing>
          <wp:inline distT="0" distB="0" distL="0" distR="0">
            <wp:extent cx="5943600" cy="334200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44. Batch screen: recipe, sequence control, start permissives and batch progress</w:t>
      </w:r>
    </w:p>
    <w:p>
      <w:pPr>
        <w:pStyle w:val="Normal"/>
        <w:keepNext w:val="true"/>
        <w:jc w:val="center"/>
        <w:rPr/>
      </w:pPr>
      <w:r>
        <w:rPr/>
        <w:drawing>
          <wp:inline distT="0" distB="0" distL="0" distR="0">
            <wp:extent cx="5943600" cy="33420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45. Setpoints screen: materials, weighing, pressure and timing</w:t>
      </w:r>
    </w:p>
    <w:p>
      <w:pPr>
        <w:pStyle w:val="Normal"/>
        <w:keepNext w:val="true"/>
        <w:jc w:val="center"/>
        <w:rPr/>
      </w:pPr>
      <w:r>
        <w:rPr/>
        <w:drawing>
          <wp:inline distT="0" distB="0" distL="0" distR="0">
            <wp:extent cx="5943600" cy="3342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46. Devices screen: every valve and pump with mode, state and faceplate</w:t>
      </w:r>
    </w:p>
    <w:p>
      <w:pPr>
        <w:pStyle w:val="Normal"/>
        <w:keepNext w:val="true"/>
        <w:jc w:val="center"/>
        <w:rPr/>
      </w:pPr>
      <w:r>
        <w:rPr/>
        <w:drawing>
          <wp:inline distT="0" distB="0" distL="0" distR="0">
            <wp:extent cx="5943600" cy="33420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47. Supply screen: plasticizer tank, refill station and totes</w:t>
      </w:r>
    </w:p>
    <w:p>
      <w:pPr>
        <w:pStyle w:val="Normal"/>
        <w:keepNext w:val="true"/>
        <w:jc w:val="center"/>
        <w:rPr/>
      </w:pPr>
      <w:r>
        <w:rPr/>
        <w:drawing>
          <wp:inline distT="0" distB="0" distL="0" distR="0">
            <wp:extent cx="5943600" cy="33420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48.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56" w:name="__RefHeading___Toc6705_1652293764"/>
      <w:bookmarkEnd w:id="56"/>
      <w:r>
        <w:rPr/>
        <w:t>15  Deploying</w:t>
      </w:r>
    </w:p>
    <w:p>
      <w:pPr>
        <w:pStyle w:val="Normal"/>
        <w:rPr/>
      </w:pPr>
      <w:r>
        <w:rPr/>
        <w:t>An application can reach the plant floor in three ways.</w:t>
      </w:r>
    </w:p>
    <w:p>
      <w:pPr>
        <w:pStyle w:val="Caption"/>
        <w:keepNext w:val="true"/>
        <w:rPr/>
      </w:pPr>
      <w:r>
        <w:rPr/>
        <w:t>Table 42.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7"/>
        <w:gridCol w:w="2934"/>
      </w:tblGrid>
      <w:tr>
        <w:trPr>
          <w:tblHeader w:val="true"/>
          <w:cantSplit w:val="true"/>
        </w:trPr>
        <w:tc>
          <w:tcPr>
            <w:tcW w:w="221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57" w:name="__RefHeading___Toc6707_1652293764"/>
      <w:bookmarkEnd w:id="57"/>
      <w:r>
        <w:rPr/>
        <w:t>15.1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49. The Publish dialog</w:t>
      </w:r>
      <w:r>
        <w:br w:type="page"/>
      </w:r>
    </w:p>
    <w:p>
      <w:pPr>
        <w:pStyle w:val="Heading2"/>
        <w:rPr/>
      </w:pPr>
      <w:bookmarkStart w:id="58" w:name="__RefHeading___Toc6709_1652293764"/>
      <w:bookmarkEnd w:id="58"/>
      <w:r>
        <w:rPr/>
        <w:t>15.2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50. The Append HMI Desktop launcher with LiquidWeighHMI selected</w:t>
      </w:r>
    </w:p>
    <w:p>
      <w:pPr>
        <w:pStyle w:val="Heading2"/>
        <w:rPr/>
      </w:pPr>
      <w:bookmarkStart w:id="59" w:name="__RefHeading___Toc6711_1652293764"/>
      <w:bookmarkEnd w:id="59"/>
      <w:r>
        <w:rPr/>
        <w:t>15.3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51.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52. LiquidWeighHMI in a web browser, with the view menu open</w:t>
      </w:r>
    </w:p>
    <w:p>
      <w:pPr>
        <w:pStyle w:val="Heading1"/>
        <w:rPr/>
      </w:pPr>
      <w:bookmarkStart w:id="60" w:name="__RefHeading___Toc6713_1652293764"/>
      <w:bookmarkEnd w:id="60"/>
      <w:r>
        <w:rPr/>
        <w:t>16  Tips and troubleshooting</w:t>
      </w:r>
    </w:p>
    <w:p>
      <w:pPr>
        <w:pStyle w:val="Caption"/>
        <w:keepNext w:val="true"/>
        <w:rPr/>
      </w:pPr>
      <w:r>
        <w:rPr/>
        <w:t>Table 43.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61" w:name="__RefHeading___Toc6715_1652293764"/>
      <w:bookmarkEnd w:id="61"/>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44.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2"/>
        <w:gridCol w:w="3928"/>
      </w:tblGrid>
      <w:tr>
        <w:trPr>
          <w:tblHeader w:val="true"/>
          <w:cantSplit w:val="true"/>
        </w:trPr>
        <w:tc>
          <w:tcPr>
            <w:tcW w:w="5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5"/>
      <w:footerReference w:type="default" r:id="rId56"/>
      <w:footerReference w:type="first" r:id="rId57"/>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79</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footer" Target="footer1.xml"/><Relationship Id="rId56" Type="http://schemas.openxmlformats.org/officeDocument/2006/relationships/footer" Target="footer2.xml"/><Relationship Id="rId57" Type="http://schemas.openxmlformats.org/officeDocument/2006/relationships/footer" Target="footer3.xml"/><Relationship Id="rId58" Type="http://schemas.openxmlformats.org/officeDocument/2006/relationships/numbering" Target="numbering.xml"/><Relationship Id="rId59" Type="http://schemas.openxmlformats.org/officeDocument/2006/relationships/fontTable" Target="fontTable.xml"/><Relationship Id="rId60" Type="http://schemas.openxmlformats.org/officeDocument/2006/relationships/settings" Target="settings.xml"/><Relationship Id="rId61" Type="http://schemas.openxmlformats.org/officeDocument/2006/relationships/theme" Target="theme/theme1.xml"/><Relationship Id="rId6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79</Pages>
  <Words>14544</Words>
  <Characters>70857</Characters>
  <CharactersWithSpaces>84220</CharactersWithSpaces>
  <Paragraphs>1358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2026-10-17T15:15:42Z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