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992F6F">
      <w:pPr>
        <w:spacing w:before="2200" w:after="240" w:line="360" w:lineRule="auto"/>
        <w:jc w:val="center"/>
        <w:rPr>
          <w:rFonts w:ascii="Times New Roman" w:hAnsi="Times New Roman" w:eastAsia="黑体"/>
          <w:b/>
          <w:color w:val="000000"/>
          <w:sz w:val="44"/>
          <w:szCs w:val="44"/>
        </w:rPr>
      </w:pPr>
      <w:r>
        <w:rPr>
          <w:rFonts w:ascii="Times New Roman" w:hAnsi="Times New Roman" w:eastAsia="黑体"/>
          <w:b/>
          <w:color w:val="000000"/>
          <w:sz w:val="44"/>
          <w:szCs w:val="44"/>
        </w:rPr>
        <w:t>NPU编译器技术文档</w:t>
      </w:r>
    </w:p>
    <w:p w14:paraId="700EF7A9">
      <w:pPr>
        <w:spacing w:before="2200" w:after="240" w:line="360" w:lineRule="auto"/>
        <w:jc w:val="center"/>
        <w:rPr>
          <w:rFonts w:ascii="Times New Roman" w:hAnsi="Times New Roman" w:eastAsia="黑体"/>
          <w:b/>
          <w:color w:val="000000"/>
          <w:sz w:val="36"/>
          <w:szCs w:val="36"/>
        </w:rPr>
      </w:pPr>
    </w:p>
    <w:p w14:paraId="55A4DD6E">
      <w:pPr>
        <w:spacing w:before="2200" w:after="240" w:line="360" w:lineRule="auto"/>
        <w:jc w:val="center"/>
        <w:rPr>
          <w:rFonts w:ascii="Times New Roman" w:hAnsi="Times New Roman" w:eastAsia="黑体"/>
          <w:b/>
          <w:color w:val="000000"/>
          <w:sz w:val="36"/>
          <w:szCs w:val="36"/>
        </w:rPr>
      </w:pPr>
    </w:p>
    <w:p w14:paraId="59105463">
      <w:pPr>
        <w:spacing w:before="2200" w:after="240" w:line="360" w:lineRule="auto"/>
        <w:jc w:val="center"/>
        <w:rPr>
          <w:rFonts w:ascii="Times New Roman" w:hAnsi="Times New Roman" w:eastAsia="黑体"/>
          <w:b/>
          <w:color w:val="000000"/>
          <w:sz w:val="36"/>
          <w:szCs w:val="36"/>
        </w:rPr>
      </w:pPr>
    </w:p>
    <w:p w14:paraId="36F49A0E">
      <w:pPr>
        <w:pStyle w:val="2"/>
        <w:spacing w:before="320" w:after="180" w:line="360" w:lineRule="auto"/>
      </w:pPr>
    </w:p>
    <w:p w14:paraId="35CB791D"/>
    <w:p w14:paraId="15E30488"/>
    <w:p w14:paraId="37FEE513"/>
    <w:sdt>
      <w:sdtPr>
        <w:rPr>
          <w:rFonts w:hint="eastAsia" w:ascii="黑体" w:hAnsi="黑体" w:eastAsia="黑体" w:cs="黑体"/>
          <w:sz w:val="21"/>
          <w:szCs w:val="24"/>
        </w:rPr>
        <w:id w:val="147472108"/>
        <w15:color w:val="DBDBDB"/>
        <w:docPartObj>
          <w:docPartGallery w:val="Table of Contents"/>
          <w:docPartUnique/>
        </w:docPartObj>
      </w:sdtPr>
      <w:sdtEndPr>
        <w:rPr>
          <w:rFonts w:hint="eastAsia" w:ascii="Times New Roman" w:hAnsi="Times New Roman" w:eastAsia="宋体" w:cs="Times New Roman"/>
          <w:sz w:val="24"/>
          <w:szCs w:val="24"/>
        </w:rPr>
      </w:sdtEndPr>
      <w:sdtContent>
        <w:p w14:paraId="54E2DEEF">
          <w:pPr>
            <w:keepNext w:val="0"/>
            <w:keepLines w:val="0"/>
            <w:pageBreakBefore w:val="0"/>
            <w:widowControl/>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hint="eastAsia" w:ascii="黑体" w:hAnsi="黑体" w:eastAsia="黑体" w:cs="黑体"/>
            </w:rPr>
          </w:pPr>
          <w:r>
            <w:rPr>
              <w:rFonts w:hint="eastAsia" w:ascii="黑体" w:hAnsi="黑体" w:eastAsia="黑体" w:cs="黑体"/>
              <w:b/>
              <w:bCs/>
              <w:sz w:val="30"/>
              <w:szCs w:val="30"/>
            </w:rPr>
            <w:t>目录</w:t>
          </w:r>
        </w:p>
        <w:p w14:paraId="0E2C2B7D">
          <w:pPr>
            <w:pStyle w:val="8"/>
            <w:keepNext w:val="0"/>
            <w:keepLines w:val="0"/>
            <w:pageBreakBefore w:val="0"/>
            <w:widowControl/>
            <w:tabs>
              <w:tab w:val="right" w:leader="dot" w:pos="9026"/>
            </w:tabs>
            <w:kinsoku/>
            <w:wordWrap/>
            <w:overflowPunct/>
            <w:topLinePunct w:val="0"/>
            <w:autoSpaceDE/>
            <w:autoSpaceDN/>
            <w:bidi w:val="0"/>
            <w:adjustRightInd/>
            <w:snapToGrid/>
            <w:textAlignment w:val="auto"/>
            <w:rPr>
              <w:rFonts w:eastAsia="宋体"/>
              <w:sz w:val="24"/>
            </w:rPr>
          </w:pPr>
          <w:r>
            <w:fldChar w:fldCharType="begin"/>
          </w:r>
          <w:r>
            <w:instrText xml:space="preserve">TOC \o "1-3" \h \u </w:instrText>
          </w:r>
          <w:r>
            <w:fldChar w:fldCharType="separate"/>
          </w:r>
          <w:r>
            <w:rPr>
              <w:rFonts w:eastAsia="宋体"/>
              <w:sz w:val="24"/>
            </w:rPr>
            <w:fldChar w:fldCharType="begin"/>
          </w:r>
          <w:r>
            <w:rPr>
              <w:rFonts w:eastAsia="宋体"/>
              <w:sz w:val="24"/>
            </w:rPr>
            <w:instrText xml:space="preserve"> HYPERLINK \l _Toc20823 </w:instrText>
          </w:r>
          <w:r>
            <w:rPr>
              <w:rFonts w:eastAsia="宋体"/>
              <w:sz w:val="24"/>
            </w:rPr>
            <w:fldChar w:fldCharType="separate"/>
          </w:r>
          <w:r>
            <w:rPr>
              <w:rFonts w:ascii="Times New Roman" w:hAnsi="Times New Roman" w:eastAsia="宋体"/>
              <w:sz w:val="24"/>
              <w:szCs w:val="32"/>
            </w:rPr>
            <w:t xml:space="preserve">1 </w:t>
          </w:r>
          <w:r>
            <w:rPr>
              <w:rFonts w:hint="eastAsia" w:eastAsia="宋体"/>
              <w:sz w:val="24"/>
              <w:szCs w:val="32"/>
              <w:lang w:val="en-US" w:eastAsia="zh-CN"/>
            </w:rPr>
            <w:t>AI</w:t>
          </w:r>
          <w:r>
            <w:rPr>
              <w:rFonts w:ascii="Times New Roman" w:hAnsi="Times New Roman" w:eastAsia="宋体"/>
              <w:sz w:val="24"/>
              <w:szCs w:val="32"/>
            </w:rPr>
            <w:t>编译器介绍</w:t>
          </w:r>
          <w:r>
            <w:rPr>
              <w:rFonts w:eastAsia="宋体"/>
              <w:sz w:val="24"/>
            </w:rPr>
            <w:tab/>
          </w:r>
          <w:r>
            <w:rPr>
              <w:rFonts w:eastAsia="宋体"/>
              <w:sz w:val="24"/>
            </w:rPr>
            <w:fldChar w:fldCharType="begin"/>
          </w:r>
          <w:r>
            <w:rPr>
              <w:rFonts w:eastAsia="宋体"/>
              <w:sz w:val="24"/>
            </w:rPr>
            <w:instrText xml:space="preserve"> PAGEREF _Toc20823 \h </w:instrText>
          </w:r>
          <w:r>
            <w:rPr>
              <w:rFonts w:eastAsia="宋体"/>
              <w:sz w:val="24"/>
            </w:rPr>
            <w:fldChar w:fldCharType="separate"/>
          </w:r>
          <w:r>
            <w:rPr>
              <w:rFonts w:eastAsia="宋体"/>
              <w:sz w:val="24"/>
            </w:rPr>
            <w:t>1</w:t>
          </w:r>
          <w:r>
            <w:rPr>
              <w:rFonts w:eastAsia="宋体"/>
              <w:sz w:val="24"/>
            </w:rPr>
            <w:fldChar w:fldCharType="end"/>
          </w:r>
          <w:r>
            <w:rPr>
              <w:rFonts w:eastAsia="宋体"/>
              <w:sz w:val="24"/>
            </w:rPr>
            <w:fldChar w:fldCharType="end"/>
          </w:r>
        </w:p>
        <w:p w14:paraId="0B96B3D6">
          <w:pPr>
            <w:pStyle w:val="9"/>
            <w:keepNext w:val="0"/>
            <w:keepLines w:val="0"/>
            <w:pageBreakBefore w:val="0"/>
            <w:widowControl/>
            <w:tabs>
              <w:tab w:val="right" w:leader="dot" w:pos="9026"/>
            </w:tabs>
            <w:kinsoku/>
            <w:wordWrap/>
            <w:overflowPunct/>
            <w:topLinePunct w:val="0"/>
            <w:autoSpaceDE/>
            <w:autoSpaceDN/>
            <w:bidi w:val="0"/>
            <w:adjustRightInd/>
            <w:snapToGrid/>
            <w:textAlignment w:val="auto"/>
            <w:rPr>
              <w:rFonts w:eastAsia="宋体"/>
              <w:sz w:val="24"/>
            </w:rPr>
          </w:pPr>
          <w:r>
            <w:rPr>
              <w:rFonts w:eastAsia="宋体"/>
              <w:sz w:val="24"/>
            </w:rPr>
            <w:fldChar w:fldCharType="begin"/>
          </w:r>
          <w:r>
            <w:rPr>
              <w:rFonts w:eastAsia="宋体"/>
              <w:sz w:val="24"/>
            </w:rPr>
            <w:instrText xml:space="preserve"> HYPERLINK \l _Toc27628 </w:instrText>
          </w:r>
          <w:r>
            <w:rPr>
              <w:rFonts w:eastAsia="宋体"/>
              <w:sz w:val="24"/>
            </w:rPr>
            <w:fldChar w:fldCharType="separate"/>
          </w:r>
          <w:r>
            <w:rPr>
              <w:rFonts w:ascii="Times New Roman" w:hAnsi="Times New Roman" w:eastAsia="宋体"/>
              <w:sz w:val="24"/>
              <w:szCs w:val="28"/>
            </w:rPr>
            <w:t>1.1 AI编译器</w:t>
          </w:r>
          <w:r>
            <w:rPr>
              <w:rFonts w:hint="eastAsia" w:eastAsia="宋体"/>
              <w:sz w:val="24"/>
              <w:szCs w:val="28"/>
              <w:lang w:val="en-US" w:eastAsia="zh-CN"/>
            </w:rPr>
            <w:t>总体介绍</w:t>
          </w:r>
          <w:r>
            <w:rPr>
              <w:rFonts w:eastAsia="宋体"/>
              <w:sz w:val="24"/>
            </w:rPr>
            <w:tab/>
          </w:r>
          <w:r>
            <w:rPr>
              <w:rFonts w:eastAsia="宋体"/>
              <w:sz w:val="24"/>
            </w:rPr>
            <w:fldChar w:fldCharType="begin"/>
          </w:r>
          <w:r>
            <w:rPr>
              <w:rFonts w:eastAsia="宋体"/>
              <w:sz w:val="24"/>
            </w:rPr>
            <w:instrText xml:space="preserve"> PAGEREF _Toc27628 \h </w:instrText>
          </w:r>
          <w:r>
            <w:rPr>
              <w:rFonts w:eastAsia="宋体"/>
              <w:sz w:val="24"/>
            </w:rPr>
            <w:fldChar w:fldCharType="separate"/>
          </w:r>
          <w:r>
            <w:rPr>
              <w:rFonts w:eastAsia="宋体"/>
              <w:sz w:val="24"/>
            </w:rPr>
            <w:t>1</w:t>
          </w:r>
          <w:r>
            <w:rPr>
              <w:rFonts w:eastAsia="宋体"/>
              <w:sz w:val="24"/>
            </w:rPr>
            <w:fldChar w:fldCharType="end"/>
          </w:r>
          <w:r>
            <w:rPr>
              <w:rFonts w:eastAsia="宋体"/>
              <w:sz w:val="24"/>
            </w:rPr>
            <w:fldChar w:fldCharType="end"/>
          </w:r>
        </w:p>
        <w:p w14:paraId="072E6921">
          <w:pPr>
            <w:pStyle w:val="9"/>
            <w:keepNext w:val="0"/>
            <w:keepLines w:val="0"/>
            <w:pageBreakBefore w:val="0"/>
            <w:widowControl/>
            <w:tabs>
              <w:tab w:val="right" w:leader="dot" w:pos="9026"/>
            </w:tabs>
            <w:kinsoku/>
            <w:wordWrap/>
            <w:overflowPunct/>
            <w:topLinePunct w:val="0"/>
            <w:autoSpaceDE/>
            <w:autoSpaceDN/>
            <w:bidi w:val="0"/>
            <w:adjustRightInd/>
            <w:snapToGrid/>
            <w:textAlignment w:val="auto"/>
            <w:rPr>
              <w:rFonts w:eastAsia="宋体"/>
              <w:sz w:val="24"/>
            </w:rPr>
          </w:pPr>
          <w:r>
            <w:rPr>
              <w:rFonts w:eastAsia="宋体"/>
              <w:sz w:val="24"/>
            </w:rPr>
            <w:fldChar w:fldCharType="begin"/>
          </w:r>
          <w:r>
            <w:rPr>
              <w:rFonts w:eastAsia="宋体"/>
              <w:sz w:val="24"/>
            </w:rPr>
            <w:instrText xml:space="preserve"> HYPERLINK \l _Toc19501 </w:instrText>
          </w:r>
          <w:r>
            <w:rPr>
              <w:rFonts w:eastAsia="宋体"/>
              <w:sz w:val="24"/>
            </w:rPr>
            <w:fldChar w:fldCharType="separate"/>
          </w:r>
          <w:r>
            <w:rPr>
              <w:rFonts w:ascii="Times New Roman" w:hAnsi="Times New Roman" w:eastAsia="宋体"/>
              <w:sz w:val="24"/>
              <w:szCs w:val="28"/>
            </w:rPr>
            <w:t>1.2 AI编译器技术体系与典型框架</w:t>
          </w:r>
          <w:r>
            <w:rPr>
              <w:rFonts w:eastAsia="宋体"/>
              <w:sz w:val="24"/>
            </w:rPr>
            <w:tab/>
          </w:r>
          <w:r>
            <w:rPr>
              <w:rFonts w:eastAsia="宋体"/>
              <w:sz w:val="24"/>
            </w:rPr>
            <w:fldChar w:fldCharType="begin"/>
          </w:r>
          <w:r>
            <w:rPr>
              <w:rFonts w:eastAsia="宋体"/>
              <w:sz w:val="24"/>
            </w:rPr>
            <w:instrText xml:space="preserve"> PAGEREF _Toc19501 \h </w:instrText>
          </w:r>
          <w:r>
            <w:rPr>
              <w:rFonts w:eastAsia="宋体"/>
              <w:sz w:val="24"/>
            </w:rPr>
            <w:fldChar w:fldCharType="separate"/>
          </w:r>
          <w:r>
            <w:rPr>
              <w:rFonts w:eastAsia="宋体"/>
              <w:sz w:val="24"/>
            </w:rPr>
            <w:t>1</w:t>
          </w:r>
          <w:r>
            <w:rPr>
              <w:rFonts w:eastAsia="宋体"/>
              <w:sz w:val="24"/>
            </w:rPr>
            <w:fldChar w:fldCharType="end"/>
          </w:r>
          <w:r>
            <w:rPr>
              <w:rFonts w:eastAsia="宋体"/>
              <w:sz w:val="24"/>
            </w:rPr>
            <w:fldChar w:fldCharType="end"/>
          </w:r>
        </w:p>
        <w:p w14:paraId="36715939">
          <w:pPr>
            <w:pStyle w:val="5"/>
            <w:keepNext w:val="0"/>
            <w:keepLines w:val="0"/>
            <w:pageBreakBefore w:val="0"/>
            <w:widowControl/>
            <w:tabs>
              <w:tab w:val="right" w:leader="dot" w:pos="9026"/>
            </w:tabs>
            <w:kinsoku/>
            <w:wordWrap/>
            <w:overflowPunct/>
            <w:topLinePunct w:val="0"/>
            <w:autoSpaceDE/>
            <w:autoSpaceDN/>
            <w:bidi w:val="0"/>
            <w:adjustRightInd/>
            <w:snapToGrid/>
            <w:textAlignment w:val="auto"/>
            <w:rPr>
              <w:rFonts w:eastAsia="宋体"/>
              <w:sz w:val="24"/>
            </w:rPr>
          </w:pPr>
          <w:r>
            <w:rPr>
              <w:rFonts w:eastAsia="宋体"/>
              <w:sz w:val="24"/>
            </w:rPr>
            <w:fldChar w:fldCharType="begin"/>
          </w:r>
          <w:r>
            <w:rPr>
              <w:rFonts w:eastAsia="宋体"/>
              <w:sz w:val="24"/>
            </w:rPr>
            <w:instrText xml:space="preserve"> HYPERLINK \l _Toc17050 </w:instrText>
          </w:r>
          <w:r>
            <w:rPr>
              <w:rFonts w:eastAsia="宋体"/>
              <w:sz w:val="24"/>
            </w:rPr>
            <w:fldChar w:fldCharType="separate"/>
          </w:r>
          <w:r>
            <w:rPr>
              <w:rFonts w:ascii="Times New Roman" w:hAnsi="Times New Roman" w:eastAsia="宋体"/>
              <w:sz w:val="24"/>
              <w:szCs w:val="28"/>
            </w:rPr>
            <w:t>1.</w:t>
          </w:r>
          <w:r>
            <w:rPr>
              <w:rFonts w:hint="eastAsia" w:eastAsia="宋体"/>
              <w:sz w:val="24"/>
              <w:szCs w:val="28"/>
              <w:lang w:val="en-US" w:eastAsia="zh-CN"/>
            </w:rPr>
            <w:t>2.1</w:t>
          </w:r>
          <w:r>
            <w:rPr>
              <w:rFonts w:ascii="Times New Roman" w:hAnsi="Times New Roman" w:eastAsia="宋体"/>
              <w:sz w:val="24"/>
              <w:szCs w:val="28"/>
            </w:rPr>
            <w:t xml:space="preserve"> </w:t>
          </w:r>
          <w:r>
            <w:rPr>
              <w:rFonts w:hint="eastAsia" w:eastAsia="宋体"/>
              <w:sz w:val="24"/>
              <w:szCs w:val="28"/>
              <w:lang w:val="en-US" w:eastAsia="zh-CN"/>
            </w:rPr>
            <w:t>运行时AI编译器</w:t>
          </w:r>
          <w:r>
            <w:rPr>
              <w:rFonts w:eastAsia="宋体"/>
              <w:sz w:val="24"/>
            </w:rPr>
            <w:tab/>
          </w:r>
          <w:r>
            <w:rPr>
              <w:rFonts w:eastAsia="宋体"/>
              <w:sz w:val="24"/>
            </w:rPr>
            <w:fldChar w:fldCharType="begin"/>
          </w:r>
          <w:r>
            <w:rPr>
              <w:rFonts w:eastAsia="宋体"/>
              <w:sz w:val="24"/>
            </w:rPr>
            <w:instrText xml:space="preserve"> PAGEREF _Toc17050 \h </w:instrText>
          </w:r>
          <w:r>
            <w:rPr>
              <w:rFonts w:eastAsia="宋体"/>
              <w:sz w:val="24"/>
            </w:rPr>
            <w:fldChar w:fldCharType="separate"/>
          </w:r>
          <w:r>
            <w:rPr>
              <w:rFonts w:eastAsia="宋体"/>
              <w:sz w:val="24"/>
            </w:rPr>
            <w:t>3</w:t>
          </w:r>
          <w:r>
            <w:rPr>
              <w:rFonts w:eastAsia="宋体"/>
              <w:sz w:val="24"/>
            </w:rPr>
            <w:fldChar w:fldCharType="end"/>
          </w:r>
          <w:r>
            <w:rPr>
              <w:rFonts w:eastAsia="宋体"/>
              <w:sz w:val="24"/>
            </w:rPr>
            <w:fldChar w:fldCharType="end"/>
          </w:r>
        </w:p>
        <w:p w14:paraId="0D73EBEC">
          <w:pPr>
            <w:pStyle w:val="5"/>
            <w:keepNext w:val="0"/>
            <w:keepLines w:val="0"/>
            <w:pageBreakBefore w:val="0"/>
            <w:widowControl/>
            <w:tabs>
              <w:tab w:val="right" w:leader="dot" w:pos="9026"/>
            </w:tabs>
            <w:kinsoku/>
            <w:wordWrap/>
            <w:overflowPunct/>
            <w:topLinePunct w:val="0"/>
            <w:autoSpaceDE/>
            <w:autoSpaceDN/>
            <w:bidi w:val="0"/>
            <w:adjustRightInd/>
            <w:snapToGrid/>
            <w:textAlignment w:val="auto"/>
            <w:rPr>
              <w:rFonts w:eastAsia="宋体"/>
              <w:sz w:val="24"/>
            </w:rPr>
          </w:pPr>
          <w:r>
            <w:rPr>
              <w:rFonts w:eastAsia="宋体"/>
              <w:sz w:val="24"/>
            </w:rPr>
            <w:fldChar w:fldCharType="begin"/>
          </w:r>
          <w:r>
            <w:rPr>
              <w:rFonts w:eastAsia="宋体"/>
              <w:sz w:val="24"/>
            </w:rPr>
            <w:instrText xml:space="preserve"> HYPERLINK \l _Toc25652 </w:instrText>
          </w:r>
          <w:r>
            <w:rPr>
              <w:rFonts w:eastAsia="宋体"/>
              <w:sz w:val="24"/>
            </w:rPr>
            <w:fldChar w:fldCharType="separate"/>
          </w:r>
          <w:r>
            <w:rPr>
              <w:rFonts w:ascii="Times New Roman" w:hAnsi="Times New Roman" w:eastAsia="宋体"/>
              <w:sz w:val="24"/>
              <w:szCs w:val="28"/>
            </w:rPr>
            <w:t>1.</w:t>
          </w:r>
          <w:r>
            <w:rPr>
              <w:rFonts w:hint="eastAsia" w:eastAsia="宋体"/>
              <w:sz w:val="24"/>
              <w:szCs w:val="28"/>
              <w:lang w:val="en-US" w:eastAsia="zh-CN"/>
            </w:rPr>
            <w:t>2.2</w:t>
          </w:r>
          <w:r>
            <w:rPr>
              <w:rFonts w:ascii="Times New Roman" w:hAnsi="Times New Roman" w:eastAsia="宋体"/>
              <w:sz w:val="24"/>
              <w:szCs w:val="28"/>
            </w:rPr>
            <w:t xml:space="preserve"> </w:t>
          </w:r>
          <w:r>
            <w:rPr>
              <w:rFonts w:hint="eastAsia" w:eastAsia="宋体"/>
              <w:sz w:val="24"/>
              <w:szCs w:val="28"/>
              <w:lang w:val="en-US" w:eastAsia="zh-CN"/>
            </w:rPr>
            <w:t>离线AI编译器</w:t>
          </w:r>
          <w:r>
            <w:rPr>
              <w:rFonts w:eastAsia="宋体"/>
              <w:sz w:val="24"/>
            </w:rPr>
            <w:tab/>
          </w:r>
          <w:r>
            <w:rPr>
              <w:rFonts w:eastAsia="宋体"/>
              <w:sz w:val="24"/>
            </w:rPr>
            <w:fldChar w:fldCharType="begin"/>
          </w:r>
          <w:r>
            <w:rPr>
              <w:rFonts w:eastAsia="宋体"/>
              <w:sz w:val="24"/>
            </w:rPr>
            <w:instrText xml:space="preserve"> PAGEREF _Toc25652 \h </w:instrText>
          </w:r>
          <w:r>
            <w:rPr>
              <w:rFonts w:eastAsia="宋体"/>
              <w:sz w:val="24"/>
            </w:rPr>
            <w:fldChar w:fldCharType="separate"/>
          </w:r>
          <w:r>
            <w:rPr>
              <w:rFonts w:eastAsia="宋体"/>
              <w:sz w:val="24"/>
            </w:rPr>
            <w:t>4</w:t>
          </w:r>
          <w:r>
            <w:rPr>
              <w:rFonts w:eastAsia="宋体"/>
              <w:sz w:val="24"/>
            </w:rPr>
            <w:fldChar w:fldCharType="end"/>
          </w:r>
          <w:r>
            <w:rPr>
              <w:rFonts w:eastAsia="宋体"/>
              <w:sz w:val="24"/>
            </w:rPr>
            <w:fldChar w:fldCharType="end"/>
          </w:r>
        </w:p>
        <w:p w14:paraId="7A1DFACD">
          <w:pPr>
            <w:pStyle w:val="5"/>
            <w:keepNext w:val="0"/>
            <w:keepLines w:val="0"/>
            <w:pageBreakBefore w:val="0"/>
            <w:widowControl/>
            <w:tabs>
              <w:tab w:val="right" w:leader="dot" w:pos="9026"/>
            </w:tabs>
            <w:kinsoku/>
            <w:wordWrap/>
            <w:overflowPunct/>
            <w:topLinePunct w:val="0"/>
            <w:autoSpaceDE/>
            <w:autoSpaceDN/>
            <w:bidi w:val="0"/>
            <w:adjustRightInd/>
            <w:snapToGrid/>
            <w:textAlignment w:val="auto"/>
            <w:rPr>
              <w:rFonts w:eastAsia="宋体"/>
              <w:sz w:val="24"/>
            </w:rPr>
          </w:pPr>
          <w:r>
            <w:rPr>
              <w:rFonts w:eastAsia="宋体"/>
              <w:sz w:val="24"/>
            </w:rPr>
            <w:fldChar w:fldCharType="begin"/>
          </w:r>
          <w:r>
            <w:rPr>
              <w:rFonts w:eastAsia="宋体"/>
              <w:sz w:val="24"/>
            </w:rPr>
            <w:instrText xml:space="preserve"> HYPERLINK \l _Toc20854 </w:instrText>
          </w:r>
          <w:r>
            <w:rPr>
              <w:rFonts w:eastAsia="宋体"/>
              <w:sz w:val="24"/>
            </w:rPr>
            <w:fldChar w:fldCharType="separate"/>
          </w:r>
          <w:r>
            <w:rPr>
              <w:rFonts w:ascii="Times New Roman" w:hAnsi="Times New Roman" w:eastAsia="宋体"/>
              <w:sz w:val="24"/>
              <w:szCs w:val="28"/>
            </w:rPr>
            <w:t>1.</w:t>
          </w:r>
          <w:r>
            <w:rPr>
              <w:rFonts w:hint="eastAsia" w:eastAsia="宋体"/>
              <w:sz w:val="24"/>
              <w:szCs w:val="28"/>
              <w:lang w:val="en-US" w:eastAsia="zh-CN"/>
            </w:rPr>
            <w:t>2.3</w:t>
          </w:r>
          <w:r>
            <w:rPr>
              <w:rFonts w:ascii="Times New Roman" w:hAnsi="Times New Roman" w:eastAsia="宋体"/>
              <w:sz w:val="24"/>
              <w:szCs w:val="28"/>
            </w:rPr>
            <w:t xml:space="preserve"> </w:t>
          </w:r>
          <w:r>
            <w:rPr>
              <w:rFonts w:hint="eastAsia" w:eastAsia="宋体"/>
              <w:sz w:val="24"/>
              <w:szCs w:val="28"/>
              <w:lang w:val="en-US" w:eastAsia="zh-CN"/>
            </w:rPr>
            <w:t>混合AI编译器</w:t>
          </w:r>
          <w:r>
            <w:rPr>
              <w:rFonts w:eastAsia="宋体"/>
              <w:sz w:val="24"/>
            </w:rPr>
            <w:tab/>
          </w:r>
          <w:r>
            <w:rPr>
              <w:rFonts w:eastAsia="宋体"/>
              <w:sz w:val="24"/>
            </w:rPr>
            <w:fldChar w:fldCharType="begin"/>
          </w:r>
          <w:r>
            <w:rPr>
              <w:rFonts w:eastAsia="宋体"/>
              <w:sz w:val="24"/>
            </w:rPr>
            <w:instrText xml:space="preserve"> PAGEREF _Toc20854 \h </w:instrText>
          </w:r>
          <w:r>
            <w:rPr>
              <w:rFonts w:eastAsia="宋体"/>
              <w:sz w:val="24"/>
            </w:rPr>
            <w:fldChar w:fldCharType="separate"/>
          </w:r>
          <w:r>
            <w:rPr>
              <w:rFonts w:eastAsia="宋体"/>
              <w:sz w:val="24"/>
            </w:rPr>
            <w:t>6</w:t>
          </w:r>
          <w:r>
            <w:rPr>
              <w:rFonts w:eastAsia="宋体"/>
              <w:sz w:val="24"/>
            </w:rPr>
            <w:fldChar w:fldCharType="end"/>
          </w:r>
          <w:r>
            <w:rPr>
              <w:rFonts w:eastAsia="宋体"/>
              <w:sz w:val="24"/>
            </w:rPr>
            <w:fldChar w:fldCharType="end"/>
          </w:r>
        </w:p>
        <w:p w14:paraId="560519A0">
          <w:pPr>
            <w:pStyle w:val="9"/>
            <w:keepNext w:val="0"/>
            <w:keepLines w:val="0"/>
            <w:pageBreakBefore w:val="0"/>
            <w:widowControl/>
            <w:tabs>
              <w:tab w:val="right" w:leader="dot" w:pos="9026"/>
            </w:tabs>
            <w:kinsoku/>
            <w:wordWrap/>
            <w:overflowPunct/>
            <w:topLinePunct w:val="0"/>
            <w:autoSpaceDE/>
            <w:autoSpaceDN/>
            <w:bidi w:val="0"/>
            <w:adjustRightInd/>
            <w:snapToGrid/>
            <w:textAlignment w:val="auto"/>
            <w:rPr>
              <w:rFonts w:eastAsia="宋体"/>
              <w:sz w:val="24"/>
            </w:rPr>
          </w:pPr>
          <w:r>
            <w:rPr>
              <w:rFonts w:eastAsia="宋体"/>
              <w:sz w:val="24"/>
            </w:rPr>
            <w:fldChar w:fldCharType="begin"/>
          </w:r>
          <w:r>
            <w:rPr>
              <w:rFonts w:eastAsia="宋体"/>
              <w:sz w:val="24"/>
            </w:rPr>
            <w:instrText xml:space="preserve"> HYPERLINK \l _Toc12658 </w:instrText>
          </w:r>
          <w:r>
            <w:rPr>
              <w:rFonts w:eastAsia="宋体"/>
              <w:sz w:val="24"/>
            </w:rPr>
            <w:fldChar w:fldCharType="separate"/>
          </w:r>
          <w:r>
            <w:rPr>
              <w:rFonts w:ascii="Times New Roman" w:hAnsi="Times New Roman" w:eastAsia="宋体"/>
              <w:sz w:val="24"/>
              <w:szCs w:val="28"/>
            </w:rPr>
            <w:t>1.</w:t>
          </w:r>
          <w:r>
            <w:rPr>
              <w:rFonts w:hint="eastAsia" w:eastAsia="宋体"/>
              <w:sz w:val="24"/>
              <w:szCs w:val="28"/>
              <w:lang w:val="en-US" w:eastAsia="zh-CN"/>
            </w:rPr>
            <w:t>3</w:t>
          </w:r>
          <w:r>
            <w:rPr>
              <w:rFonts w:ascii="Times New Roman" w:hAnsi="Times New Roman" w:eastAsia="宋体"/>
              <w:sz w:val="24"/>
              <w:szCs w:val="28"/>
            </w:rPr>
            <w:t xml:space="preserve"> 当前编译器的技术定位</w:t>
          </w:r>
          <w:r>
            <w:rPr>
              <w:rFonts w:eastAsia="宋体"/>
              <w:sz w:val="24"/>
            </w:rPr>
            <w:tab/>
          </w:r>
          <w:r>
            <w:rPr>
              <w:rFonts w:eastAsia="宋体"/>
              <w:sz w:val="24"/>
            </w:rPr>
            <w:fldChar w:fldCharType="begin"/>
          </w:r>
          <w:r>
            <w:rPr>
              <w:rFonts w:eastAsia="宋体"/>
              <w:sz w:val="24"/>
            </w:rPr>
            <w:instrText xml:space="preserve"> PAGEREF _Toc12658 \h </w:instrText>
          </w:r>
          <w:r>
            <w:rPr>
              <w:rFonts w:eastAsia="宋体"/>
              <w:sz w:val="24"/>
            </w:rPr>
            <w:fldChar w:fldCharType="separate"/>
          </w:r>
          <w:r>
            <w:rPr>
              <w:rFonts w:eastAsia="宋体"/>
              <w:sz w:val="24"/>
            </w:rPr>
            <w:t>7</w:t>
          </w:r>
          <w:r>
            <w:rPr>
              <w:rFonts w:eastAsia="宋体"/>
              <w:sz w:val="24"/>
            </w:rPr>
            <w:fldChar w:fldCharType="end"/>
          </w:r>
          <w:r>
            <w:rPr>
              <w:rFonts w:eastAsia="宋体"/>
              <w:sz w:val="24"/>
            </w:rPr>
            <w:fldChar w:fldCharType="end"/>
          </w:r>
        </w:p>
        <w:p w14:paraId="4D555561">
          <w:pPr>
            <w:pStyle w:val="8"/>
            <w:keepNext w:val="0"/>
            <w:keepLines w:val="0"/>
            <w:pageBreakBefore w:val="0"/>
            <w:widowControl/>
            <w:tabs>
              <w:tab w:val="right" w:leader="dot" w:pos="9026"/>
            </w:tabs>
            <w:kinsoku/>
            <w:wordWrap/>
            <w:overflowPunct/>
            <w:topLinePunct w:val="0"/>
            <w:autoSpaceDE/>
            <w:autoSpaceDN/>
            <w:bidi w:val="0"/>
            <w:adjustRightInd/>
            <w:snapToGrid/>
            <w:textAlignment w:val="auto"/>
            <w:rPr>
              <w:rFonts w:eastAsia="宋体"/>
              <w:sz w:val="24"/>
            </w:rPr>
          </w:pPr>
          <w:r>
            <w:rPr>
              <w:rFonts w:eastAsia="宋体"/>
              <w:sz w:val="24"/>
            </w:rPr>
            <w:fldChar w:fldCharType="begin"/>
          </w:r>
          <w:r>
            <w:rPr>
              <w:rFonts w:eastAsia="宋体"/>
              <w:sz w:val="24"/>
            </w:rPr>
            <w:instrText xml:space="preserve"> HYPERLINK \l _Toc99 </w:instrText>
          </w:r>
          <w:r>
            <w:rPr>
              <w:rFonts w:eastAsia="宋体"/>
              <w:sz w:val="24"/>
            </w:rPr>
            <w:fldChar w:fldCharType="separate"/>
          </w:r>
          <w:r>
            <w:rPr>
              <w:rFonts w:eastAsia="宋体"/>
              <w:sz w:val="24"/>
            </w:rPr>
            <w:t>2 当前NPU编译器的设计与编译</w:t>
          </w:r>
          <w:r>
            <w:rPr>
              <w:rFonts w:hint="eastAsia" w:eastAsia="宋体"/>
              <w:sz w:val="24"/>
              <w:lang w:val="en-US" w:eastAsia="zh-CN"/>
            </w:rPr>
            <w:t>流程</w:t>
          </w:r>
          <w:r>
            <w:rPr>
              <w:rFonts w:eastAsia="宋体"/>
              <w:sz w:val="24"/>
            </w:rPr>
            <w:tab/>
          </w:r>
          <w:r>
            <w:rPr>
              <w:rFonts w:eastAsia="宋体"/>
              <w:sz w:val="24"/>
            </w:rPr>
            <w:fldChar w:fldCharType="begin"/>
          </w:r>
          <w:r>
            <w:rPr>
              <w:rFonts w:eastAsia="宋体"/>
              <w:sz w:val="24"/>
            </w:rPr>
            <w:instrText xml:space="preserve"> PAGEREF _Toc99 \h </w:instrText>
          </w:r>
          <w:r>
            <w:rPr>
              <w:rFonts w:eastAsia="宋体"/>
              <w:sz w:val="24"/>
            </w:rPr>
            <w:fldChar w:fldCharType="separate"/>
          </w:r>
          <w:r>
            <w:rPr>
              <w:rFonts w:eastAsia="宋体"/>
              <w:sz w:val="24"/>
            </w:rPr>
            <w:t>9</w:t>
          </w:r>
          <w:r>
            <w:rPr>
              <w:rFonts w:eastAsia="宋体"/>
              <w:sz w:val="24"/>
            </w:rPr>
            <w:fldChar w:fldCharType="end"/>
          </w:r>
          <w:r>
            <w:rPr>
              <w:rFonts w:eastAsia="宋体"/>
              <w:sz w:val="24"/>
            </w:rPr>
            <w:fldChar w:fldCharType="end"/>
          </w:r>
        </w:p>
        <w:p w14:paraId="4D109634">
          <w:pPr>
            <w:pStyle w:val="9"/>
            <w:keepNext w:val="0"/>
            <w:keepLines w:val="0"/>
            <w:pageBreakBefore w:val="0"/>
            <w:widowControl/>
            <w:tabs>
              <w:tab w:val="right" w:leader="dot" w:pos="9026"/>
            </w:tabs>
            <w:kinsoku/>
            <w:wordWrap/>
            <w:overflowPunct/>
            <w:topLinePunct w:val="0"/>
            <w:autoSpaceDE/>
            <w:autoSpaceDN/>
            <w:bidi w:val="0"/>
            <w:adjustRightInd/>
            <w:snapToGrid/>
            <w:textAlignment w:val="auto"/>
            <w:rPr>
              <w:rFonts w:eastAsia="宋体"/>
              <w:sz w:val="24"/>
            </w:rPr>
          </w:pPr>
          <w:r>
            <w:rPr>
              <w:rFonts w:eastAsia="宋体"/>
              <w:sz w:val="24"/>
            </w:rPr>
            <w:fldChar w:fldCharType="begin"/>
          </w:r>
          <w:r>
            <w:rPr>
              <w:rFonts w:eastAsia="宋体"/>
              <w:sz w:val="24"/>
            </w:rPr>
            <w:instrText xml:space="preserve"> HYPERLINK \l _Toc21586 </w:instrText>
          </w:r>
          <w:r>
            <w:rPr>
              <w:rFonts w:eastAsia="宋体"/>
              <w:sz w:val="24"/>
            </w:rPr>
            <w:fldChar w:fldCharType="separate"/>
          </w:r>
          <w:r>
            <w:rPr>
              <w:rFonts w:ascii="Times New Roman" w:hAnsi="Times New Roman" w:eastAsia="宋体"/>
              <w:sz w:val="24"/>
              <w:szCs w:val="28"/>
            </w:rPr>
            <w:t>2.1 NPU计算过程</w:t>
          </w:r>
          <w:r>
            <w:rPr>
              <w:rFonts w:eastAsia="宋体"/>
              <w:sz w:val="24"/>
            </w:rPr>
            <w:tab/>
          </w:r>
          <w:r>
            <w:rPr>
              <w:rFonts w:eastAsia="宋体"/>
              <w:sz w:val="24"/>
            </w:rPr>
            <w:fldChar w:fldCharType="begin"/>
          </w:r>
          <w:r>
            <w:rPr>
              <w:rFonts w:eastAsia="宋体"/>
              <w:sz w:val="24"/>
            </w:rPr>
            <w:instrText xml:space="preserve"> PAGEREF _Toc21586 \h </w:instrText>
          </w:r>
          <w:r>
            <w:rPr>
              <w:rFonts w:eastAsia="宋体"/>
              <w:sz w:val="24"/>
            </w:rPr>
            <w:fldChar w:fldCharType="separate"/>
          </w:r>
          <w:r>
            <w:rPr>
              <w:rFonts w:eastAsia="宋体"/>
              <w:sz w:val="24"/>
            </w:rPr>
            <w:t>9</w:t>
          </w:r>
          <w:r>
            <w:rPr>
              <w:rFonts w:eastAsia="宋体"/>
              <w:sz w:val="24"/>
            </w:rPr>
            <w:fldChar w:fldCharType="end"/>
          </w:r>
          <w:r>
            <w:rPr>
              <w:rFonts w:eastAsia="宋体"/>
              <w:sz w:val="24"/>
            </w:rPr>
            <w:fldChar w:fldCharType="end"/>
          </w:r>
        </w:p>
        <w:p w14:paraId="3D206B0D">
          <w:pPr>
            <w:pStyle w:val="9"/>
            <w:keepNext w:val="0"/>
            <w:keepLines w:val="0"/>
            <w:pageBreakBefore w:val="0"/>
            <w:widowControl/>
            <w:tabs>
              <w:tab w:val="right" w:leader="dot" w:pos="9026"/>
            </w:tabs>
            <w:kinsoku/>
            <w:wordWrap/>
            <w:overflowPunct/>
            <w:topLinePunct w:val="0"/>
            <w:autoSpaceDE/>
            <w:autoSpaceDN/>
            <w:bidi w:val="0"/>
            <w:adjustRightInd/>
            <w:snapToGrid/>
            <w:textAlignment w:val="auto"/>
            <w:rPr>
              <w:rFonts w:eastAsia="宋体"/>
              <w:sz w:val="24"/>
            </w:rPr>
          </w:pPr>
          <w:r>
            <w:rPr>
              <w:rFonts w:eastAsia="宋体"/>
              <w:sz w:val="24"/>
            </w:rPr>
            <w:fldChar w:fldCharType="begin"/>
          </w:r>
          <w:r>
            <w:rPr>
              <w:rFonts w:eastAsia="宋体"/>
              <w:sz w:val="24"/>
            </w:rPr>
            <w:instrText xml:space="preserve"> HYPERLINK \l _Toc11759 </w:instrText>
          </w:r>
          <w:r>
            <w:rPr>
              <w:rFonts w:eastAsia="宋体"/>
              <w:sz w:val="24"/>
            </w:rPr>
            <w:fldChar w:fldCharType="separate"/>
          </w:r>
          <w:r>
            <w:rPr>
              <w:rFonts w:ascii="Times New Roman" w:hAnsi="Times New Roman" w:eastAsia="宋体"/>
              <w:sz w:val="24"/>
              <w:szCs w:val="28"/>
            </w:rPr>
            <w:t>2.2 编译器总体流程</w:t>
          </w:r>
          <w:r>
            <w:rPr>
              <w:rFonts w:eastAsia="宋体"/>
              <w:sz w:val="24"/>
            </w:rPr>
            <w:tab/>
          </w:r>
          <w:r>
            <w:rPr>
              <w:rFonts w:eastAsia="宋体"/>
              <w:sz w:val="24"/>
            </w:rPr>
            <w:fldChar w:fldCharType="begin"/>
          </w:r>
          <w:r>
            <w:rPr>
              <w:rFonts w:eastAsia="宋体"/>
              <w:sz w:val="24"/>
            </w:rPr>
            <w:instrText xml:space="preserve"> PAGEREF _Toc11759 \h </w:instrText>
          </w:r>
          <w:r>
            <w:rPr>
              <w:rFonts w:eastAsia="宋体"/>
              <w:sz w:val="24"/>
            </w:rPr>
            <w:fldChar w:fldCharType="separate"/>
          </w:r>
          <w:r>
            <w:rPr>
              <w:rFonts w:eastAsia="宋体"/>
              <w:sz w:val="24"/>
            </w:rPr>
            <w:t>10</w:t>
          </w:r>
          <w:r>
            <w:rPr>
              <w:rFonts w:eastAsia="宋体"/>
              <w:sz w:val="24"/>
            </w:rPr>
            <w:fldChar w:fldCharType="end"/>
          </w:r>
          <w:r>
            <w:rPr>
              <w:rFonts w:eastAsia="宋体"/>
              <w:sz w:val="24"/>
            </w:rPr>
            <w:fldChar w:fldCharType="end"/>
          </w:r>
        </w:p>
        <w:p w14:paraId="741F600C">
          <w:pPr>
            <w:pStyle w:val="5"/>
            <w:keepNext w:val="0"/>
            <w:keepLines w:val="0"/>
            <w:pageBreakBefore w:val="0"/>
            <w:widowControl/>
            <w:tabs>
              <w:tab w:val="right" w:leader="dot" w:pos="9026"/>
            </w:tabs>
            <w:kinsoku/>
            <w:wordWrap/>
            <w:overflowPunct/>
            <w:topLinePunct w:val="0"/>
            <w:autoSpaceDE/>
            <w:autoSpaceDN/>
            <w:bidi w:val="0"/>
            <w:adjustRightInd/>
            <w:snapToGrid/>
            <w:textAlignment w:val="auto"/>
            <w:rPr>
              <w:rFonts w:eastAsia="宋体"/>
              <w:sz w:val="24"/>
            </w:rPr>
          </w:pPr>
          <w:r>
            <w:rPr>
              <w:rFonts w:eastAsia="宋体"/>
              <w:sz w:val="24"/>
            </w:rPr>
            <w:fldChar w:fldCharType="begin"/>
          </w:r>
          <w:r>
            <w:rPr>
              <w:rFonts w:eastAsia="宋体"/>
              <w:sz w:val="24"/>
            </w:rPr>
            <w:instrText xml:space="preserve"> HYPERLINK \l _Toc6604 </w:instrText>
          </w:r>
          <w:r>
            <w:rPr>
              <w:rFonts w:eastAsia="宋体"/>
              <w:sz w:val="24"/>
            </w:rPr>
            <w:fldChar w:fldCharType="separate"/>
          </w:r>
          <w:r>
            <w:rPr>
              <w:rFonts w:eastAsia="宋体"/>
              <w:sz w:val="24"/>
            </w:rPr>
            <w:t>2.</w:t>
          </w:r>
          <w:r>
            <w:rPr>
              <w:rFonts w:hint="eastAsia" w:eastAsia="宋体"/>
              <w:sz w:val="24"/>
              <w:lang w:val="en-US" w:eastAsia="zh-CN"/>
            </w:rPr>
            <w:t>2.1</w:t>
          </w:r>
          <w:r>
            <w:rPr>
              <w:rFonts w:eastAsia="宋体"/>
              <w:sz w:val="24"/>
            </w:rPr>
            <w:t xml:space="preserve"> </w:t>
          </w:r>
          <w:r>
            <w:rPr>
              <w:rFonts w:hint="eastAsia" w:eastAsia="宋体"/>
              <w:sz w:val="24"/>
              <w:lang w:val="en-US" w:eastAsia="zh-CN"/>
            </w:rPr>
            <w:t>模型读取与参数整理</w:t>
          </w:r>
          <w:r>
            <w:rPr>
              <w:rFonts w:eastAsia="宋体"/>
              <w:sz w:val="24"/>
            </w:rPr>
            <w:tab/>
          </w:r>
          <w:r>
            <w:rPr>
              <w:rFonts w:eastAsia="宋体"/>
              <w:sz w:val="24"/>
            </w:rPr>
            <w:fldChar w:fldCharType="begin"/>
          </w:r>
          <w:r>
            <w:rPr>
              <w:rFonts w:eastAsia="宋体"/>
              <w:sz w:val="24"/>
            </w:rPr>
            <w:instrText xml:space="preserve"> PAGEREF _Toc6604 \h </w:instrText>
          </w:r>
          <w:r>
            <w:rPr>
              <w:rFonts w:eastAsia="宋体"/>
              <w:sz w:val="24"/>
            </w:rPr>
            <w:fldChar w:fldCharType="separate"/>
          </w:r>
          <w:r>
            <w:rPr>
              <w:rFonts w:eastAsia="宋体"/>
              <w:sz w:val="24"/>
            </w:rPr>
            <w:t>12</w:t>
          </w:r>
          <w:r>
            <w:rPr>
              <w:rFonts w:eastAsia="宋体"/>
              <w:sz w:val="24"/>
            </w:rPr>
            <w:fldChar w:fldCharType="end"/>
          </w:r>
          <w:r>
            <w:rPr>
              <w:rFonts w:eastAsia="宋体"/>
              <w:sz w:val="24"/>
            </w:rPr>
            <w:fldChar w:fldCharType="end"/>
          </w:r>
        </w:p>
        <w:p w14:paraId="2E0C7A49">
          <w:pPr>
            <w:pStyle w:val="5"/>
            <w:keepNext w:val="0"/>
            <w:keepLines w:val="0"/>
            <w:pageBreakBefore w:val="0"/>
            <w:widowControl/>
            <w:tabs>
              <w:tab w:val="right" w:leader="dot" w:pos="9026"/>
            </w:tabs>
            <w:kinsoku/>
            <w:wordWrap/>
            <w:overflowPunct/>
            <w:topLinePunct w:val="0"/>
            <w:autoSpaceDE/>
            <w:autoSpaceDN/>
            <w:bidi w:val="0"/>
            <w:adjustRightInd/>
            <w:snapToGrid/>
            <w:textAlignment w:val="auto"/>
            <w:rPr>
              <w:rFonts w:eastAsia="宋体"/>
              <w:sz w:val="24"/>
            </w:rPr>
          </w:pPr>
          <w:r>
            <w:rPr>
              <w:rFonts w:eastAsia="宋体"/>
              <w:sz w:val="24"/>
            </w:rPr>
            <w:fldChar w:fldCharType="begin"/>
          </w:r>
          <w:r>
            <w:rPr>
              <w:rFonts w:eastAsia="宋体"/>
              <w:sz w:val="24"/>
            </w:rPr>
            <w:instrText xml:space="preserve"> HYPERLINK \l _Toc16713 </w:instrText>
          </w:r>
          <w:r>
            <w:rPr>
              <w:rFonts w:eastAsia="宋体"/>
              <w:sz w:val="24"/>
            </w:rPr>
            <w:fldChar w:fldCharType="separate"/>
          </w:r>
          <w:r>
            <w:rPr>
              <w:rFonts w:eastAsia="宋体"/>
              <w:sz w:val="24"/>
            </w:rPr>
            <w:t>2.</w:t>
          </w:r>
          <w:r>
            <w:rPr>
              <w:rFonts w:hint="eastAsia" w:eastAsia="宋体"/>
              <w:sz w:val="24"/>
              <w:lang w:val="en-US" w:eastAsia="zh-CN"/>
            </w:rPr>
            <w:t>2.2</w:t>
          </w:r>
          <w:r>
            <w:rPr>
              <w:rFonts w:eastAsia="宋体"/>
              <w:sz w:val="24"/>
            </w:rPr>
            <w:t xml:space="preserve"> </w:t>
          </w:r>
          <w:r>
            <w:rPr>
              <w:rFonts w:hint="eastAsia" w:eastAsia="宋体"/>
              <w:sz w:val="24"/>
              <w:lang w:val="en-US" w:eastAsia="zh-CN"/>
            </w:rPr>
            <w:t>内存规划</w:t>
          </w:r>
          <w:r>
            <w:rPr>
              <w:rFonts w:eastAsia="宋体"/>
              <w:sz w:val="24"/>
            </w:rPr>
            <w:tab/>
          </w:r>
          <w:r>
            <w:rPr>
              <w:rFonts w:eastAsia="宋体"/>
              <w:sz w:val="24"/>
            </w:rPr>
            <w:fldChar w:fldCharType="begin"/>
          </w:r>
          <w:r>
            <w:rPr>
              <w:rFonts w:eastAsia="宋体"/>
              <w:sz w:val="24"/>
            </w:rPr>
            <w:instrText xml:space="preserve"> PAGEREF _Toc16713 \h </w:instrText>
          </w:r>
          <w:r>
            <w:rPr>
              <w:rFonts w:eastAsia="宋体"/>
              <w:sz w:val="24"/>
            </w:rPr>
            <w:fldChar w:fldCharType="separate"/>
          </w:r>
          <w:r>
            <w:rPr>
              <w:rFonts w:eastAsia="宋体"/>
              <w:sz w:val="24"/>
            </w:rPr>
            <w:t>14</w:t>
          </w:r>
          <w:r>
            <w:rPr>
              <w:rFonts w:eastAsia="宋体"/>
              <w:sz w:val="24"/>
            </w:rPr>
            <w:fldChar w:fldCharType="end"/>
          </w:r>
          <w:r>
            <w:rPr>
              <w:rFonts w:eastAsia="宋体"/>
              <w:sz w:val="24"/>
            </w:rPr>
            <w:fldChar w:fldCharType="end"/>
          </w:r>
        </w:p>
        <w:p w14:paraId="1315901D">
          <w:pPr>
            <w:pStyle w:val="5"/>
            <w:keepNext w:val="0"/>
            <w:keepLines w:val="0"/>
            <w:pageBreakBefore w:val="0"/>
            <w:widowControl/>
            <w:tabs>
              <w:tab w:val="right" w:leader="dot" w:pos="9026"/>
            </w:tabs>
            <w:kinsoku/>
            <w:wordWrap/>
            <w:overflowPunct/>
            <w:topLinePunct w:val="0"/>
            <w:autoSpaceDE/>
            <w:autoSpaceDN/>
            <w:bidi w:val="0"/>
            <w:adjustRightInd/>
            <w:snapToGrid/>
            <w:textAlignment w:val="auto"/>
            <w:rPr>
              <w:rFonts w:eastAsia="宋体"/>
              <w:sz w:val="24"/>
            </w:rPr>
          </w:pPr>
          <w:r>
            <w:rPr>
              <w:rFonts w:eastAsia="宋体"/>
              <w:sz w:val="24"/>
            </w:rPr>
            <w:fldChar w:fldCharType="begin"/>
          </w:r>
          <w:r>
            <w:rPr>
              <w:rFonts w:eastAsia="宋体"/>
              <w:sz w:val="24"/>
            </w:rPr>
            <w:instrText xml:space="preserve"> HYPERLINK \l _Toc18948 </w:instrText>
          </w:r>
          <w:r>
            <w:rPr>
              <w:rFonts w:eastAsia="宋体"/>
              <w:sz w:val="24"/>
            </w:rPr>
            <w:fldChar w:fldCharType="separate"/>
          </w:r>
          <w:r>
            <w:rPr>
              <w:rFonts w:eastAsia="宋体"/>
              <w:sz w:val="24"/>
            </w:rPr>
            <w:t>2.</w:t>
          </w:r>
          <w:r>
            <w:rPr>
              <w:rFonts w:hint="eastAsia" w:eastAsia="宋体"/>
              <w:sz w:val="24"/>
              <w:lang w:val="en-US" w:eastAsia="zh-CN"/>
            </w:rPr>
            <w:t>2.3</w:t>
          </w:r>
          <w:r>
            <w:rPr>
              <w:rFonts w:eastAsia="宋体"/>
              <w:sz w:val="24"/>
            </w:rPr>
            <w:t xml:space="preserve"> 算子汇编、机器码生成与</w:t>
          </w:r>
          <w:r>
            <w:rPr>
              <w:rFonts w:hint="eastAsia" w:eastAsia="宋体"/>
              <w:sz w:val="24"/>
              <w:lang w:val="en-US" w:eastAsia="zh-CN"/>
            </w:rPr>
            <w:t>可执行文件</w:t>
          </w:r>
          <w:r>
            <w:rPr>
              <w:rFonts w:eastAsia="宋体"/>
              <w:sz w:val="24"/>
            </w:rPr>
            <w:t>导出</w:t>
          </w:r>
          <w:r>
            <w:rPr>
              <w:rFonts w:eastAsia="宋体"/>
              <w:sz w:val="24"/>
            </w:rPr>
            <w:tab/>
          </w:r>
          <w:r>
            <w:rPr>
              <w:rFonts w:eastAsia="宋体"/>
              <w:sz w:val="24"/>
            </w:rPr>
            <w:fldChar w:fldCharType="begin"/>
          </w:r>
          <w:r>
            <w:rPr>
              <w:rFonts w:eastAsia="宋体"/>
              <w:sz w:val="24"/>
            </w:rPr>
            <w:instrText xml:space="preserve"> PAGEREF _Toc18948 \h </w:instrText>
          </w:r>
          <w:r>
            <w:rPr>
              <w:rFonts w:eastAsia="宋体"/>
              <w:sz w:val="24"/>
            </w:rPr>
            <w:fldChar w:fldCharType="separate"/>
          </w:r>
          <w:r>
            <w:rPr>
              <w:rFonts w:eastAsia="宋体"/>
              <w:sz w:val="24"/>
            </w:rPr>
            <w:t>15</w:t>
          </w:r>
          <w:r>
            <w:rPr>
              <w:rFonts w:eastAsia="宋体"/>
              <w:sz w:val="24"/>
            </w:rPr>
            <w:fldChar w:fldCharType="end"/>
          </w:r>
          <w:r>
            <w:rPr>
              <w:rFonts w:eastAsia="宋体"/>
              <w:sz w:val="24"/>
            </w:rPr>
            <w:fldChar w:fldCharType="end"/>
          </w:r>
        </w:p>
        <w:p w14:paraId="2807DD1B">
          <w:pPr>
            <w:pStyle w:val="8"/>
            <w:keepNext w:val="0"/>
            <w:keepLines w:val="0"/>
            <w:pageBreakBefore w:val="0"/>
            <w:widowControl/>
            <w:tabs>
              <w:tab w:val="right" w:leader="dot" w:pos="9026"/>
            </w:tabs>
            <w:kinsoku/>
            <w:wordWrap/>
            <w:overflowPunct/>
            <w:topLinePunct w:val="0"/>
            <w:autoSpaceDE/>
            <w:autoSpaceDN/>
            <w:bidi w:val="0"/>
            <w:adjustRightInd/>
            <w:snapToGrid/>
            <w:textAlignment w:val="auto"/>
            <w:rPr>
              <w:rFonts w:eastAsia="宋体"/>
              <w:sz w:val="24"/>
            </w:rPr>
          </w:pPr>
          <w:r>
            <w:rPr>
              <w:rFonts w:eastAsia="宋体"/>
              <w:sz w:val="24"/>
            </w:rPr>
            <w:fldChar w:fldCharType="begin"/>
          </w:r>
          <w:r>
            <w:rPr>
              <w:rFonts w:eastAsia="宋体"/>
              <w:sz w:val="24"/>
            </w:rPr>
            <w:instrText xml:space="preserve"> HYPERLINK \l _Toc12531 </w:instrText>
          </w:r>
          <w:r>
            <w:rPr>
              <w:rFonts w:eastAsia="宋体"/>
              <w:sz w:val="24"/>
            </w:rPr>
            <w:fldChar w:fldCharType="separate"/>
          </w:r>
          <w:r>
            <w:rPr>
              <w:rFonts w:ascii="Times New Roman" w:hAnsi="Times New Roman" w:eastAsia="宋体"/>
              <w:sz w:val="24"/>
              <w:szCs w:val="32"/>
            </w:rPr>
            <w:t xml:space="preserve">3 </w:t>
          </w:r>
          <w:r>
            <w:rPr>
              <w:rFonts w:hint="eastAsia" w:eastAsia="宋体"/>
              <w:sz w:val="24"/>
              <w:szCs w:val="32"/>
              <w:lang w:val="en-US" w:eastAsia="zh-CN"/>
            </w:rPr>
            <w:t>编译器</w:t>
          </w:r>
          <w:r>
            <w:rPr>
              <w:rFonts w:ascii="Times New Roman" w:hAnsi="Times New Roman" w:eastAsia="宋体"/>
              <w:sz w:val="24"/>
              <w:szCs w:val="32"/>
            </w:rPr>
            <w:t>扩展</w:t>
          </w:r>
          <w:r>
            <w:rPr>
              <w:rFonts w:hint="eastAsia" w:eastAsia="宋体"/>
              <w:sz w:val="24"/>
              <w:szCs w:val="32"/>
              <w:lang w:val="en-US" w:eastAsia="zh-CN"/>
            </w:rPr>
            <w:t>方法</w:t>
          </w:r>
          <w:r>
            <w:rPr>
              <w:rFonts w:eastAsia="宋体"/>
              <w:sz w:val="24"/>
            </w:rPr>
            <w:tab/>
          </w:r>
          <w:r>
            <w:rPr>
              <w:rFonts w:eastAsia="宋体"/>
              <w:sz w:val="24"/>
            </w:rPr>
            <w:fldChar w:fldCharType="begin"/>
          </w:r>
          <w:r>
            <w:rPr>
              <w:rFonts w:eastAsia="宋体"/>
              <w:sz w:val="24"/>
            </w:rPr>
            <w:instrText xml:space="preserve"> PAGEREF _Toc12531 \h </w:instrText>
          </w:r>
          <w:r>
            <w:rPr>
              <w:rFonts w:eastAsia="宋体"/>
              <w:sz w:val="24"/>
            </w:rPr>
            <w:fldChar w:fldCharType="separate"/>
          </w:r>
          <w:r>
            <w:rPr>
              <w:rFonts w:eastAsia="宋体"/>
              <w:sz w:val="24"/>
            </w:rPr>
            <w:t>17</w:t>
          </w:r>
          <w:r>
            <w:rPr>
              <w:rFonts w:eastAsia="宋体"/>
              <w:sz w:val="24"/>
            </w:rPr>
            <w:fldChar w:fldCharType="end"/>
          </w:r>
          <w:r>
            <w:rPr>
              <w:rFonts w:eastAsia="宋体"/>
              <w:sz w:val="24"/>
            </w:rPr>
            <w:fldChar w:fldCharType="end"/>
          </w:r>
        </w:p>
        <w:p w14:paraId="11424EBE">
          <w:pPr>
            <w:pStyle w:val="9"/>
            <w:keepNext w:val="0"/>
            <w:keepLines w:val="0"/>
            <w:pageBreakBefore w:val="0"/>
            <w:widowControl/>
            <w:tabs>
              <w:tab w:val="right" w:leader="dot" w:pos="9026"/>
            </w:tabs>
            <w:kinsoku/>
            <w:wordWrap/>
            <w:overflowPunct/>
            <w:topLinePunct w:val="0"/>
            <w:autoSpaceDE/>
            <w:autoSpaceDN/>
            <w:bidi w:val="0"/>
            <w:adjustRightInd/>
            <w:snapToGrid/>
            <w:textAlignment w:val="auto"/>
            <w:rPr>
              <w:rFonts w:eastAsia="宋体"/>
              <w:sz w:val="24"/>
            </w:rPr>
          </w:pPr>
          <w:r>
            <w:rPr>
              <w:rFonts w:eastAsia="宋体"/>
              <w:sz w:val="24"/>
            </w:rPr>
            <w:fldChar w:fldCharType="begin"/>
          </w:r>
          <w:r>
            <w:rPr>
              <w:rFonts w:eastAsia="宋体"/>
              <w:sz w:val="24"/>
            </w:rPr>
            <w:instrText xml:space="preserve"> HYPERLINK \l _Toc15540 </w:instrText>
          </w:r>
          <w:r>
            <w:rPr>
              <w:rFonts w:eastAsia="宋体"/>
              <w:sz w:val="24"/>
            </w:rPr>
            <w:fldChar w:fldCharType="separate"/>
          </w:r>
          <w:r>
            <w:rPr>
              <w:rFonts w:hint="eastAsia" w:eastAsia="宋体"/>
              <w:sz w:val="24"/>
              <w:lang w:val="en-US" w:eastAsia="zh-CN"/>
            </w:rPr>
            <w:t>3.1 支持更多模型的拓展方法</w:t>
          </w:r>
          <w:r>
            <w:rPr>
              <w:rFonts w:eastAsia="宋体"/>
              <w:sz w:val="24"/>
            </w:rPr>
            <w:tab/>
          </w:r>
          <w:r>
            <w:rPr>
              <w:rFonts w:eastAsia="宋体"/>
              <w:sz w:val="24"/>
            </w:rPr>
            <w:fldChar w:fldCharType="begin"/>
          </w:r>
          <w:r>
            <w:rPr>
              <w:rFonts w:eastAsia="宋体"/>
              <w:sz w:val="24"/>
            </w:rPr>
            <w:instrText xml:space="preserve"> PAGEREF _Toc15540 \h </w:instrText>
          </w:r>
          <w:r>
            <w:rPr>
              <w:rFonts w:eastAsia="宋体"/>
              <w:sz w:val="24"/>
            </w:rPr>
            <w:fldChar w:fldCharType="separate"/>
          </w:r>
          <w:r>
            <w:rPr>
              <w:rFonts w:eastAsia="宋体"/>
              <w:sz w:val="24"/>
            </w:rPr>
            <w:t>17</w:t>
          </w:r>
          <w:r>
            <w:rPr>
              <w:rFonts w:eastAsia="宋体"/>
              <w:sz w:val="24"/>
            </w:rPr>
            <w:fldChar w:fldCharType="end"/>
          </w:r>
          <w:r>
            <w:rPr>
              <w:rFonts w:eastAsia="宋体"/>
              <w:sz w:val="24"/>
            </w:rPr>
            <w:fldChar w:fldCharType="end"/>
          </w:r>
        </w:p>
        <w:p w14:paraId="03661D91">
          <w:pPr>
            <w:pStyle w:val="9"/>
            <w:keepNext w:val="0"/>
            <w:keepLines w:val="0"/>
            <w:pageBreakBefore w:val="0"/>
            <w:widowControl/>
            <w:tabs>
              <w:tab w:val="right" w:leader="dot" w:pos="9026"/>
            </w:tabs>
            <w:kinsoku/>
            <w:wordWrap/>
            <w:overflowPunct/>
            <w:topLinePunct w:val="0"/>
            <w:autoSpaceDE/>
            <w:autoSpaceDN/>
            <w:bidi w:val="0"/>
            <w:adjustRightInd/>
            <w:snapToGrid/>
            <w:textAlignment w:val="auto"/>
          </w:pPr>
          <w:r>
            <w:rPr>
              <w:rFonts w:eastAsia="宋体"/>
              <w:sz w:val="24"/>
            </w:rPr>
            <w:fldChar w:fldCharType="begin"/>
          </w:r>
          <w:r>
            <w:rPr>
              <w:rFonts w:eastAsia="宋体"/>
              <w:sz w:val="24"/>
            </w:rPr>
            <w:instrText xml:space="preserve"> HYPERLINK \l _Toc19443 </w:instrText>
          </w:r>
          <w:r>
            <w:rPr>
              <w:rFonts w:eastAsia="宋体"/>
              <w:sz w:val="24"/>
            </w:rPr>
            <w:fldChar w:fldCharType="separate"/>
          </w:r>
          <w:r>
            <w:rPr>
              <w:rFonts w:hint="eastAsia" w:eastAsia="宋体"/>
              <w:sz w:val="24"/>
              <w:lang w:val="en-US" w:eastAsia="zh-CN"/>
            </w:rPr>
            <w:t>3.2 如何增加新算子</w:t>
          </w:r>
          <w:r>
            <w:rPr>
              <w:rFonts w:eastAsia="宋体"/>
              <w:sz w:val="24"/>
            </w:rPr>
            <w:tab/>
          </w:r>
          <w:r>
            <w:rPr>
              <w:rFonts w:eastAsia="宋体"/>
              <w:sz w:val="24"/>
            </w:rPr>
            <w:fldChar w:fldCharType="begin"/>
          </w:r>
          <w:r>
            <w:rPr>
              <w:rFonts w:eastAsia="宋体"/>
              <w:sz w:val="24"/>
            </w:rPr>
            <w:instrText xml:space="preserve"> PAGEREF _Toc19443 \h </w:instrText>
          </w:r>
          <w:r>
            <w:rPr>
              <w:rFonts w:eastAsia="宋体"/>
              <w:sz w:val="24"/>
            </w:rPr>
            <w:fldChar w:fldCharType="separate"/>
          </w:r>
          <w:r>
            <w:rPr>
              <w:rFonts w:eastAsia="宋体"/>
              <w:sz w:val="24"/>
            </w:rPr>
            <w:t>17</w:t>
          </w:r>
          <w:r>
            <w:rPr>
              <w:rFonts w:eastAsia="宋体"/>
              <w:sz w:val="24"/>
            </w:rPr>
            <w:fldChar w:fldCharType="end"/>
          </w:r>
          <w:r>
            <w:rPr>
              <w:rFonts w:eastAsia="宋体"/>
              <w:sz w:val="24"/>
            </w:rPr>
            <w:fldChar w:fldCharType="end"/>
          </w:r>
        </w:p>
        <w:p w14:paraId="391521E2">
          <w:pPr>
            <w:rPr>
              <w:rFonts w:ascii="Times New Roman" w:hAnsi="Times New Roman" w:eastAsia="宋体" w:cs="Times New Roman"/>
              <w:sz w:val="24"/>
              <w:szCs w:val="24"/>
            </w:rPr>
            <w:sectPr>
              <w:headerReference r:id="rId5" w:type="default"/>
              <w:footerReference r:id="rId6" w:type="default"/>
              <w:pgSz w:w="11906" w:h="16838"/>
              <w:pgMar w:top="1440" w:right="1440" w:bottom="1440" w:left="1440" w:header="708" w:footer="708" w:gutter="0"/>
              <w:cols w:space="720" w:num="1"/>
            </w:sectPr>
          </w:pPr>
          <w:r>
            <w:fldChar w:fldCharType="end"/>
          </w:r>
        </w:p>
      </w:sdtContent>
    </w:sdt>
    <w:p w14:paraId="2BB0C8A0">
      <w:pPr>
        <w:pStyle w:val="2"/>
        <w:spacing w:before="320" w:after="180" w:line="360" w:lineRule="auto"/>
      </w:pPr>
      <w:bookmarkStart w:id="0" w:name="_Toc20823"/>
      <w:r>
        <w:rPr>
          <w:rFonts w:ascii="Times New Roman" w:hAnsi="Times New Roman" w:eastAsia="黑体"/>
          <w:b/>
          <w:color w:val="000000"/>
          <w:sz w:val="32"/>
          <w:szCs w:val="32"/>
        </w:rPr>
        <w:t xml:space="preserve">1 </w:t>
      </w:r>
      <w:r>
        <w:rPr>
          <w:rFonts w:hint="eastAsia"/>
          <w:b/>
          <w:color w:val="000000"/>
          <w:sz w:val="32"/>
          <w:szCs w:val="32"/>
          <w:lang w:val="en-US" w:eastAsia="zh-CN"/>
        </w:rPr>
        <w:t>AI</w:t>
      </w:r>
      <w:r>
        <w:rPr>
          <w:rFonts w:ascii="Times New Roman" w:hAnsi="Times New Roman" w:eastAsia="黑体"/>
          <w:b/>
          <w:color w:val="000000"/>
          <w:sz w:val="32"/>
          <w:szCs w:val="32"/>
        </w:rPr>
        <w:t>编译器介绍</w:t>
      </w:r>
      <w:bookmarkEnd w:id="0"/>
    </w:p>
    <w:p w14:paraId="7FC110D1">
      <w:pPr>
        <w:pStyle w:val="3"/>
        <w:spacing w:before="240" w:after="120" w:line="360" w:lineRule="auto"/>
        <w:rPr>
          <w:rFonts w:hint="default" w:eastAsia="黑体"/>
          <w:lang w:val="en-US" w:eastAsia="zh-CN"/>
        </w:rPr>
      </w:pPr>
      <w:bookmarkStart w:id="1" w:name="_Toc27628"/>
      <w:r>
        <w:rPr>
          <w:rFonts w:ascii="Times New Roman" w:hAnsi="Times New Roman" w:eastAsia="黑体"/>
          <w:b/>
          <w:color w:val="000000"/>
          <w:sz w:val="28"/>
          <w:szCs w:val="28"/>
        </w:rPr>
        <w:t>1.1 AI编译器</w:t>
      </w:r>
      <w:r>
        <w:rPr>
          <w:rFonts w:hint="eastAsia"/>
          <w:b/>
          <w:color w:val="000000"/>
          <w:sz w:val="28"/>
          <w:szCs w:val="28"/>
          <w:lang w:val="en-US" w:eastAsia="zh-CN"/>
        </w:rPr>
        <w:t>总体介绍</w:t>
      </w:r>
      <w:bookmarkEnd w:id="1"/>
    </w:p>
    <w:p w14:paraId="61F8702A">
      <w:pPr>
        <w:spacing w:before="0" w:after="120" w:line="360" w:lineRule="auto"/>
        <w:ind w:firstLine="480"/>
        <w:rPr>
          <w:rFonts w:hint="eastAsia" w:eastAsia="宋体"/>
          <w:lang w:eastAsia="zh-CN"/>
        </w:rPr>
      </w:pPr>
      <w:r>
        <w:rPr>
          <w:rFonts w:hint="eastAsia" w:ascii="Times New Roman" w:hAnsi="Times New Roman" w:eastAsia="宋体"/>
          <w:color w:val="000000"/>
          <w:sz w:val="24"/>
          <w:szCs w:val="24"/>
        </w:rPr>
        <w:t>AI编译器是专门为</w:t>
      </w:r>
      <w:r>
        <w:rPr>
          <w:rFonts w:hint="eastAsia"/>
          <w:color w:val="000000"/>
          <w:sz w:val="24"/>
          <w:szCs w:val="24"/>
          <w:lang w:val="en-US" w:eastAsia="zh-CN"/>
        </w:rPr>
        <w:t>AI软硬件协同</w:t>
      </w:r>
      <w:r>
        <w:rPr>
          <w:rFonts w:hint="eastAsia" w:ascii="Times New Roman" w:hAnsi="Times New Roman" w:eastAsia="宋体"/>
          <w:color w:val="000000"/>
          <w:sz w:val="24"/>
          <w:szCs w:val="24"/>
        </w:rPr>
        <w:t>工作设计的编译系统，它将高层次的</w:t>
      </w:r>
      <w:r>
        <w:rPr>
          <w:rFonts w:hint="eastAsia"/>
          <w:color w:val="000000"/>
          <w:sz w:val="24"/>
          <w:szCs w:val="24"/>
          <w:lang w:val="en-US" w:eastAsia="zh-CN"/>
        </w:rPr>
        <w:t>AI</w:t>
      </w:r>
      <w:r>
        <w:rPr>
          <w:rFonts w:hint="eastAsia" w:ascii="Times New Roman" w:hAnsi="Times New Roman" w:eastAsia="宋体"/>
          <w:color w:val="000000"/>
          <w:sz w:val="24"/>
          <w:szCs w:val="24"/>
        </w:rPr>
        <w:t>模型描述转换为高效的可执行代码。与传统编译器将源代码转换为机器码不同，AI编译器的输入通常是计算图（Computational Graph）或神经网络模型，输出则是针对特定硬件优化的执行计划。从本质上讲，AI编译器是连接算法研究与硬件实现的桥梁。它不仅要理解模型的语义，还要深入理解底层硬件的特性，在两者之间找到最优的映射关系</w:t>
      </w:r>
      <w:r>
        <w:rPr>
          <w:rFonts w:hint="eastAsia"/>
          <w:color w:val="000000"/>
          <w:sz w:val="24"/>
          <w:szCs w:val="24"/>
          <w:lang w:eastAsia="zh-CN"/>
        </w:rPr>
        <w:t>。</w:t>
      </w:r>
    </w:p>
    <w:p w14:paraId="546CE1E4">
      <w:pPr>
        <w:spacing w:before="0" w:after="120" w:line="360" w:lineRule="auto"/>
        <w:ind w:firstLine="480"/>
        <w:rPr>
          <w:rFonts w:hint="eastAsia" w:eastAsia="宋体"/>
          <w:lang w:eastAsia="zh-CN"/>
        </w:rPr>
      </w:pPr>
      <w:r>
        <w:rPr>
          <w:rFonts w:ascii="Times New Roman" w:hAnsi="Times New Roman" w:eastAsia="宋体"/>
          <w:color w:val="000000"/>
          <w:sz w:val="24"/>
          <w:szCs w:val="24"/>
        </w:rPr>
        <w:t>在工程实践中，XLA、IREE、ONNX Runtime、TensorRT、OpenVINO以及 PyTorch 系列编译栈分别代表了不同的</w:t>
      </w:r>
      <w:r>
        <w:rPr>
          <w:rFonts w:hint="eastAsia"/>
          <w:color w:val="000000"/>
          <w:sz w:val="24"/>
          <w:szCs w:val="24"/>
          <w:lang w:val="en-US" w:eastAsia="zh-CN"/>
        </w:rPr>
        <w:t>编译特性</w:t>
      </w:r>
      <w:r>
        <w:rPr>
          <w:rFonts w:ascii="Times New Roman" w:hAnsi="Times New Roman" w:eastAsia="宋体"/>
          <w:color w:val="000000"/>
          <w:sz w:val="24"/>
          <w:szCs w:val="24"/>
        </w:rPr>
        <w:t>。XLA面向线性代数计算和张量图优化，通过 HLO 等中间表示将 TensorFlow/JAX 等</w:t>
      </w:r>
      <w:r>
        <w:rPr>
          <w:rFonts w:hint="eastAsia"/>
          <w:color w:val="000000"/>
          <w:sz w:val="24"/>
          <w:szCs w:val="24"/>
          <w:lang w:val="en-US" w:eastAsia="zh-CN"/>
        </w:rPr>
        <w:t>模型中</w:t>
      </w:r>
      <w:r>
        <w:rPr>
          <w:rFonts w:ascii="Times New Roman" w:hAnsi="Times New Roman" w:eastAsia="宋体"/>
          <w:color w:val="000000"/>
          <w:sz w:val="24"/>
          <w:szCs w:val="24"/>
        </w:rPr>
        <w:t>前端中的计算变换为目标平台可执行代码；IREE更强调基于MLIR</w:t>
      </w:r>
      <w:r>
        <w:rPr>
          <w:rFonts w:hint="eastAsia"/>
          <w:color w:val="000000"/>
          <w:sz w:val="24"/>
          <w:szCs w:val="24"/>
          <w:lang w:val="en-US" w:eastAsia="zh-CN"/>
        </w:rPr>
        <w:t>这种中间表示</w:t>
      </w:r>
      <w:r>
        <w:rPr>
          <w:rFonts w:ascii="Times New Roman" w:hAnsi="Times New Roman" w:eastAsia="宋体"/>
          <w:color w:val="000000"/>
          <w:sz w:val="24"/>
          <w:szCs w:val="24"/>
        </w:rPr>
        <w:t>的端到端部署，把模型编译为可在多种设备上执行的模块，并配套运行时完成加载和调用；ONNX Runtime通过图优化和Execution Provider机制把</w:t>
      </w:r>
      <w:r>
        <w:rPr>
          <w:rFonts w:hint="eastAsia"/>
          <w:color w:val="000000"/>
          <w:sz w:val="24"/>
          <w:szCs w:val="24"/>
          <w:lang w:val="en-US" w:eastAsia="zh-CN"/>
        </w:rPr>
        <w:t>模型编译图</w:t>
      </w:r>
      <w:r>
        <w:rPr>
          <w:rFonts w:ascii="Times New Roman" w:hAnsi="Times New Roman" w:eastAsia="宋体"/>
          <w:color w:val="000000"/>
          <w:sz w:val="24"/>
          <w:szCs w:val="24"/>
        </w:rPr>
        <w:t>分发到 CPU、CUDA、TensorRT、DirectML等后端；TensorRT则面向 NVIDIA GPU推理场景</w:t>
      </w:r>
      <w:r>
        <w:rPr>
          <w:rFonts w:hint="eastAsia"/>
          <w:color w:val="000000"/>
          <w:sz w:val="24"/>
          <w:szCs w:val="24"/>
          <w:lang w:val="en-US" w:eastAsia="zh-CN"/>
        </w:rPr>
        <w:t>专门进行优化</w:t>
      </w:r>
      <w:r>
        <w:rPr>
          <w:rFonts w:hint="eastAsia"/>
          <w:color w:val="000000"/>
          <w:sz w:val="24"/>
          <w:szCs w:val="24"/>
          <w:lang w:eastAsia="zh-CN"/>
        </w:rPr>
        <w:t>。</w:t>
      </w:r>
    </w:p>
    <w:p w14:paraId="235810AA">
      <w:pPr>
        <w:spacing w:before="0" w:after="120" w:line="360" w:lineRule="auto"/>
        <w:ind w:firstLine="480"/>
        <w:rPr>
          <w:rFonts w:hint="eastAsia" w:ascii="Times New Roman" w:hAnsi="Times New Roman" w:eastAsia="宋体"/>
          <w:color w:val="000000"/>
          <w:sz w:val="24"/>
          <w:szCs w:val="24"/>
          <w:lang w:eastAsia="zh-CN"/>
        </w:rPr>
      </w:pPr>
      <w:r>
        <w:rPr>
          <w:rFonts w:ascii="Times New Roman" w:hAnsi="Times New Roman" w:eastAsia="宋体"/>
          <w:color w:val="000000"/>
          <w:sz w:val="24"/>
          <w:szCs w:val="24"/>
        </w:rPr>
        <w:t>对于 NPU 这类专用神经网络加速器而言，编译器的重要性更加突出。一方面，NPU 通常具有固定或半固定的数据通路，例如卷积、池化、激活、矩阵运算等模块可能对应特定指令和专用配置寄存器；另一方面，NPU 的片上存储、通道并行度、输入输出对齐、参数排列和指令位宽往往与通用软件框架的张量表示并不一致。如果没有编译器在模型层和硬件层之间进行系统映射，开发者就需要手工计算每一层的输入输出地址、参数偏移、寄存器字段和机器码编码，不仅效率低，而且容易引入难以定位的错误。因此，面向NPU的AI编译器既承担传统编译器的语义转换功能，也承担硬件资源管理和部署镜像生成的任务。</w:t>
      </w:r>
    </w:p>
    <w:p w14:paraId="60AB3153">
      <w:pPr>
        <w:pStyle w:val="3"/>
        <w:spacing w:before="240" w:after="120" w:line="360" w:lineRule="auto"/>
      </w:pPr>
      <w:bookmarkStart w:id="2" w:name="_Toc19501"/>
      <w:r>
        <w:rPr>
          <w:rFonts w:ascii="Times New Roman" w:hAnsi="Times New Roman" w:eastAsia="黑体"/>
          <w:b/>
          <w:color w:val="000000"/>
          <w:sz w:val="28"/>
          <w:szCs w:val="28"/>
        </w:rPr>
        <w:t>1.2 AI编译器技术体系与典型框架</w:t>
      </w:r>
      <w:bookmarkEnd w:id="2"/>
    </w:p>
    <w:p w14:paraId="7E82865C">
      <w:pPr>
        <w:spacing w:before="0" w:after="120" w:line="360" w:lineRule="auto"/>
        <w:ind w:firstLine="480"/>
        <w:rPr>
          <w:rFonts w:ascii="Times New Roman" w:hAnsi="Times New Roman" w:eastAsia="宋体"/>
          <w:color w:val="000000"/>
          <w:sz w:val="24"/>
          <w:szCs w:val="24"/>
        </w:rPr>
      </w:pPr>
      <w:r>
        <w:rPr>
          <w:rFonts w:ascii="Times New Roman" w:hAnsi="Times New Roman" w:eastAsia="宋体"/>
          <w:color w:val="000000"/>
          <w:sz w:val="24"/>
          <w:szCs w:val="24"/>
        </w:rPr>
        <w:t>AI 编译器通常由前端、中间表示</w:t>
      </w:r>
      <w:r>
        <w:rPr>
          <w:rFonts w:hint="eastAsia"/>
          <w:color w:val="000000"/>
          <w:sz w:val="24"/>
          <w:szCs w:val="24"/>
          <w:lang w:eastAsia="zh-CN"/>
        </w:rPr>
        <w:t>（</w:t>
      </w:r>
      <w:r>
        <w:rPr>
          <w:rFonts w:hint="eastAsia"/>
          <w:color w:val="000000"/>
          <w:sz w:val="24"/>
          <w:szCs w:val="24"/>
          <w:lang w:val="en-US" w:eastAsia="zh-CN"/>
        </w:rPr>
        <w:t>IR</w:t>
      </w:r>
      <w:r>
        <w:rPr>
          <w:rFonts w:hint="eastAsia"/>
          <w:color w:val="000000"/>
          <w:sz w:val="24"/>
          <w:szCs w:val="24"/>
          <w:lang w:eastAsia="zh-CN"/>
        </w:rPr>
        <w:t>）</w:t>
      </w:r>
      <w:r>
        <w:rPr>
          <w:rFonts w:ascii="Times New Roman" w:hAnsi="Times New Roman" w:eastAsia="宋体"/>
          <w:color w:val="000000"/>
          <w:sz w:val="24"/>
          <w:szCs w:val="24"/>
        </w:rPr>
        <w:t>、优化器、后端和运行时五部分构成。前端负责从训练框架或交换格式读取模型，并提取计算图、张量形状、参数、量化信息和控制属性；中间表示负责承载模型语义并为提供统一对象；优化器在图级和算子级对计算进行变换；后端根据目标硬件的指令集、存储体系和并行结构生成代码或执行描述；运行时则负责模型加载、设备管理、内存分配、执行同步和异常处理。</w:t>
      </w:r>
    </w:p>
    <w:p w14:paraId="4809485F">
      <w:pPr>
        <w:spacing w:before="0" w:after="120" w:line="360" w:lineRule="auto"/>
        <w:ind w:firstLine="480"/>
        <w:jc w:val="center"/>
        <w:rPr>
          <w:rFonts w:hint="eastAsia" w:ascii="Times New Roman" w:hAnsi="Times New Roman" w:eastAsia="宋体"/>
          <w:color w:val="000000"/>
          <w:sz w:val="24"/>
          <w:szCs w:val="24"/>
          <w:lang w:eastAsia="zh-CN"/>
        </w:rPr>
      </w:pPr>
      <w:bookmarkStart w:id="16" w:name="_GoBack"/>
      <w:r>
        <w:rPr>
          <w:rFonts w:hint="eastAsia" w:ascii="Times New Roman" w:hAnsi="Times New Roman" w:eastAsia="宋体"/>
          <w:color w:val="000000"/>
          <w:sz w:val="24"/>
          <w:szCs w:val="24"/>
          <w:lang w:eastAsia="zh-CN"/>
        </w:rPr>
        <w:drawing>
          <wp:inline distT="0" distB="0" distL="114300" distR="114300">
            <wp:extent cx="2698115" cy="7578725"/>
            <wp:effectExtent l="0" t="0" r="6985" b="3175"/>
            <wp:docPr id="1" name="图片 1" descr="AI编译器流程图（总）.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I编译器流程图（总）.drawio (1)"/>
                    <pic:cNvPicPr>
                      <a:picLocks noChangeAspect="1"/>
                    </pic:cNvPicPr>
                  </pic:nvPicPr>
                  <pic:blipFill>
                    <a:blip r:embed="rId9"/>
                    <a:stretch>
                      <a:fillRect/>
                    </a:stretch>
                  </pic:blipFill>
                  <pic:spPr>
                    <a:xfrm>
                      <a:off x="0" y="0"/>
                      <a:ext cx="2698115" cy="7578725"/>
                    </a:xfrm>
                    <a:prstGeom prst="rect">
                      <a:avLst/>
                    </a:prstGeom>
                  </pic:spPr>
                </pic:pic>
              </a:graphicData>
            </a:graphic>
          </wp:inline>
        </w:drawing>
      </w:r>
      <w:bookmarkEnd w:id="16"/>
    </w:p>
    <w:p w14:paraId="42A265C5">
      <w:pPr>
        <w:spacing w:before="80" w:after="140" w:line="300" w:lineRule="auto"/>
        <w:jc w:val="center"/>
        <w:rPr>
          <w:rFonts w:hint="default" w:ascii="Times New Roman" w:hAnsi="Times New Roman" w:eastAsia="宋体"/>
          <w:color w:val="000000"/>
          <w:sz w:val="24"/>
          <w:szCs w:val="24"/>
          <w:lang w:val="en-US" w:eastAsia="zh-CN"/>
        </w:rPr>
      </w:pPr>
      <w:r>
        <w:rPr>
          <w:rFonts w:ascii="Times New Roman" w:hAnsi="Times New Roman" w:eastAsia="宋体"/>
          <w:color w:val="000000"/>
          <w:sz w:val="21"/>
          <w:szCs w:val="21"/>
        </w:rPr>
        <w:t>图1</w:t>
      </w:r>
      <w:r>
        <w:rPr>
          <w:rFonts w:hint="eastAsia"/>
          <w:color w:val="000000"/>
          <w:sz w:val="21"/>
          <w:szCs w:val="21"/>
          <w:lang w:val="en-US" w:eastAsia="zh-CN"/>
        </w:rPr>
        <w:t xml:space="preserve"> 典型</w:t>
      </w:r>
      <w:r>
        <w:rPr>
          <w:rFonts w:ascii="Times New Roman" w:hAnsi="Times New Roman" w:eastAsia="宋体"/>
          <w:color w:val="000000"/>
          <w:sz w:val="21"/>
          <w:szCs w:val="21"/>
        </w:rPr>
        <w:t>AI</w:t>
      </w:r>
      <w:r>
        <w:rPr>
          <w:rFonts w:hint="eastAsia"/>
          <w:color w:val="000000"/>
          <w:sz w:val="21"/>
          <w:szCs w:val="21"/>
          <w:lang w:val="en-US" w:eastAsia="zh-CN"/>
        </w:rPr>
        <w:t>编译器工作流程图</w:t>
      </w:r>
    </w:p>
    <w:p w14:paraId="390A7B4D">
      <w:pPr>
        <w:spacing w:before="0" w:after="120" w:line="360" w:lineRule="auto"/>
        <w:ind w:firstLine="480"/>
        <w:rPr>
          <w:rFonts w:hint="eastAsia"/>
          <w:color w:val="000000"/>
          <w:sz w:val="24"/>
          <w:szCs w:val="24"/>
          <w:lang w:eastAsia="zh-CN"/>
        </w:rPr>
      </w:pPr>
      <w:r>
        <w:rPr>
          <w:rFonts w:hint="eastAsia" w:ascii="Times New Roman" w:hAnsi="Times New Roman" w:eastAsia="宋体"/>
          <w:color w:val="000000"/>
          <w:sz w:val="24"/>
          <w:szCs w:val="24"/>
        </w:rPr>
        <w:t>典型的AI编译器可以根据编译发生的时机分为两类。一类是运行时AI编译器（或称JIT编译器），在模型加载或首次执行时根据当前设备、可用内存和kernel库状态动态选择优化策略并生成执行计划。大多数通用AI编译器采用此类设计，如ONNX Runtime的Execution Provider机制、TensorRT的engine构建与缓存、PyTorch的动态图捕获与编译路径。这是因为通用AI编译器面向多样化的部署环境和动态输入，需要在运行时适应不同硬件后端、</w:t>
      </w:r>
      <w:r>
        <w:rPr>
          <w:rFonts w:hint="eastAsia"/>
          <w:color w:val="000000"/>
          <w:sz w:val="24"/>
          <w:szCs w:val="24"/>
          <w:lang w:val="en-US" w:eastAsia="zh-CN"/>
        </w:rPr>
        <w:t>和</w:t>
      </w:r>
      <w:r>
        <w:rPr>
          <w:rFonts w:hint="eastAsia" w:ascii="Times New Roman" w:hAnsi="Times New Roman" w:eastAsia="宋体"/>
          <w:color w:val="000000"/>
          <w:sz w:val="24"/>
          <w:szCs w:val="24"/>
        </w:rPr>
        <w:t>模型变体，难以在离线阶段完成所有决策。另一类是离线AI编译器（或称AOT编译器），在部署前完成模型解析、参数导出、地址规划、指令生成和镜像打包，运行时只需加载固定指令和数据即可执行。专用NPU编译器通常采用此类设计，因为NPU面向固定或半固定的数据通路，片上存储、通道并行度、寄存器字段和指令位宽与通用框架的张量表示差异较大，离线阶段可以充分完成地址分配、通道补齐、权重重排等硬件适配工作，运行时负担小、执行确定性高，也更便于将编译产物用于FPGA原型验证</w:t>
      </w:r>
      <w:r>
        <w:rPr>
          <w:rFonts w:hint="eastAsia"/>
          <w:color w:val="000000"/>
          <w:sz w:val="24"/>
          <w:szCs w:val="24"/>
          <w:lang w:eastAsia="zh-CN"/>
        </w:rPr>
        <w:t>。</w:t>
      </w:r>
    </w:p>
    <w:p w14:paraId="59AD3E8D">
      <w:pPr>
        <w:pStyle w:val="4"/>
        <w:bidi w:val="0"/>
        <w:rPr>
          <w:rFonts w:hint="default" w:eastAsia="黑体"/>
          <w:lang w:val="en-US" w:eastAsia="zh-CN"/>
        </w:rPr>
      </w:pPr>
      <w:bookmarkStart w:id="3" w:name="_Toc17050"/>
      <w:r>
        <w:rPr>
          <w:rFonts w:ascii="Times New Roman" w:hAnsi="Times New Roman" w:eastAsia="黑体"/>
          <w:b/>
          <w:color w:val="000000"/>
          <w:sz w:val="28"/>
          <w:szCs w:val="28"/>
        </w:rPr>
        <w:t>1.</w:t>
      </w:r>
      <w:r>
        <w:rPr>
          <w:rFonts w:hint="eastAsia"/>
          <w:b/>
          <w:color w:val="000000"/>
          <w:sz w:val="28"/>
          <w:szCs w:val="28"/>
          <w:lang w:val="en-US" w:eastAsia="zh-CN"/>
        </w:rPr>
        <w:t>2.1</w:t>
      </w:r>
      <w:r>
        <w:rPr>
          <w:rFonts w:ascii="Times New Roman" w:hAnsi="Times New Roman" w:eastAsia="黑体"/>
          <w:b/>
          <w:color w:val="000000"/>
          <w:sz w:val="28"/>
          <w:szCs w:val="28"/>
        </w:rPr>
        <w:t xml:space="preserve"> </w:t>
      </w:r>
      <w:r>
        <w:rPr>
          <w:rFonts w:hint="eastAsia"/>
          <w:b/>
          <w:color w:val="000000"/>
          <w:sz w:val="28"/>
          <w:szCs w:val="28"/>
          <w:lang w:val="en-US" w:eastAsia="zh-CN"/>
        </w:rPr>
        <w:t>运行时AI编译器</w:t>
      </w:r>
      <w:bookmarkEnd w:id="3"/>
    </w:p>
    <w:p w14:paraId="4F2F417A">
      <w:pPr>
        <w:spacing w:before="0" w:after="120" w:line="360" w:lineRule="auto"/>
        <w:ind w:firstLine="480"/>
        <w:rPr>
          <w:rFonts w:hint="eastAsia" w:ascii="Times New Roman" w:hAnsi="Times New Roman" w:eastAsia="宋体"/>
          <w:color w:val="000000"/>
          <w:sz w:val="24"/>
          <w:szCs w:val="24"/>
        </w:rPr>
      </w:pPr>
      <w:r>
        <w:rPr>
          <w:rFonts w:ascii="Times New Roman" w:hAnsi="Times New Roman" w:eastAsia="宋体"/>
          <w:color w:val="000000"/>
          <w:sz w:val="24"/>
          <w:szCs w:val="24"/>
        </w:rPr>
        <w:t>该类</w:t>
      </w:r>
      <w:r>
        <w:rPr>
          <w:rFonts w:hint="eastAsia" w:ascii="Times New Roman" w:hAnsi="Times New Roman" w:eastAsia="宋体"/>
          <w:color w:val="000000"/>
          <w:sz w:val="24"/>
          <w:szCs w:val="24"/>
        </w:rPr>
        <w:t>运行时AI编译器将编译决策推迟到模型加载或首次执行阶段。当用户加载一个训练好的模型时，编译器首先对模型计算图进行动态捕获或解析，随后根据当前运行环境的硬件配置（如GPU型号、CUDA版本、可用显存大小）、输入张量的具体形状以及系统中已注册的kernel库状态，在线完成图优化、算子选择、内存规划和代码生成等一系列工作，最终产生可在当前设备上高效执行的程序实例。</w:t>
      </w:r>
    </w:p>
    <w:p w14:paraId="3CF17906">
      <w:pPr>
        <w:spacing w:before="0" w:after="120" w:line="360" w:lineRule="auto"/>
        <w:ind w:firstLine="480"/>
        <w:rPr>
          <w:rFonts w:hint="eastAsia" w:ascii="Times New Roman" w:hAnsi="Times New Roman" w:eastAsia="宋体"/>
          <w:color w:val="000000"/>
          <w:sz w:val="24"/>
          <w:szCs w:val="24"/>
        </w:rPr>
      </w:pPr>
      <w:r>
        <w:rPr>
          <w:rFonts w:hint="eastAsia" w:ascii="Times New Roman" w:hAnsi="Times New Roman" w:eastAsia="宋体"/>
          <w:color w:val="000000"/>
          <w:sz w:val="24"/>
          <w:szCs w:val="24"/>
        </w:rPr>
        <w:t>这种设计源于通用AI框架所面临的部署场景复杂性。以云端推理服务为例，同一份模型可能需要同时服务不同batch size的请求，需要在不同代际的GPU上运行，甚至需要在CPU和GPU之间动态切换回退路径；以PyTorch为代表的动态图框架本身允许模型结构随输入数据动态变化（如递归神经网络中不同序列长度导致的循环展开次数不同）。在这些情况下，离线阶段无法预知运行时的具体状态，因此必须在运行时完成编译决策。此外，运行时编译器还可以利用运行时的profile信息进行反馈优化——例如TensorRT在执行过程中可以收集各层的实际耗时，在后续的engine优化中调整kernel选择策略；PyTorch 2则通过多次编译尝试（triton）来筛选最优实现。</w:t>
      </w:r>
    </w:p>
    <w:p w14:paraId="465E4C78">
      <w:pPr>
        <w:spacing w:before="0" w:after="120" w:line="360" w:lineRule="auto"/>
        <w:ind w:firstLine="480"/>
        <w:rPr>
          <w:rFonts w:ascii="Times New Roman" w:hAnsi="Times New Roman" w:eastAsia="宋体"/>
          <w:color w:val="000000"/>
          <w:sz w:val="24"/>
          <w:szCs w:val="24"/>
        </w:rPr>
      </w:pPr>
      <w:r>
        <w:rPr>
          <w:rFonts w:hint="eastAsia" w:ascii="Times New Roman" w:hAnsi="Times New Roman" w:eastAsia="宋体"/>
          <w:color w:val="000000"/>
          <w:sz w:val="24"/>
          <w:szCs w:val="24"/>
        </w:rPr>
        <w:t>然而，运行时编译器的优势与代价是一体两面的。其优势在于灵活性高、适应性强，能够在不重新导出模型的情况下应对输入变化和环境迁移，因此成为ONNX Runtime、TensorRT、PyTorch 2等通用推理框架的主流选择。其代价则体现在以下几个方面：第一，运行时开销显著，模型首次加载时需经历完整的编译流程，启动延迟可能达到数秒甚至数十秒；第二，运行时编译器的内存占用</w:t>
      </w:r>
      <w:r>
        <w:rPr>
          <w:rFonts w:hint="eastAsia"/>
          <w:color w:val="000000"/>
          <w:sz w:val="24"/>
          <w:szCs w:val="24"/>
          <w:lang w:val="en-US" w:eastAsia="zh-CN"/>
        </w:rPr>
        <w:t>较大</w:t>
      </w:r>
      <w:r>
        <w:rPr>
          <w:rFonts w:hint="eastAsia" w:ascii="Times New Roman" w:hAnsi="Times New Roman" w:eastAsia="宋体"/>
          <w:color w:val="000000"/>
          <w:sz w:val="24"/>
          <w:szCs w:val="24"/>
        </w:rPr>
        <w:t>——包括IR表示、优化器中间结构和生成的kernel代码</w:t>
      </w:r>
      <w:r>
        <w:rPr>
          <w:rFonts w:hint="eastAsia"/>
          <w:color w:val="000000"/>
          <w:sz w:val="24"/>
          <w:szCs w:val="24"/>
          <w:lang w:eastAsia="zh-CN"/>
        </w:rPr>
        <w:t>，</w:t>
      </w:r>
      <w:r>
        <w:rPr>
          <w:rFonts w:hint="eastAsia"/>
          <w:color w:val="000000"/>
          <w:sz w:val="24"/>
          <w:szCs w:val="24"/>
          <w:lang w:val="en-US" w:eastAsia="zh-CN"/>
        </w:rPr>
        <w:t>这</w:t>
      </w:r>
      <w:r>
        <w:rPr>
          <w:rFonts w:hint="eastAsia" w:ascii="Times New Roman" w:hAnsi="Times New Roman" w:eastAsia="宋体"/>
          <w:color w:val="000000"/>
          <w:sz w:val="24"/>
          <w:szCs w:val="24"/>
        </w:rPr>
        <w:t>在资源受限的嵌入式设备上可能本身就已超出硬件承受能力；第三，由于优化决策依赖于运行时的具体状态，执行时间存在不确定性，难以满足工业控制、自动驾驶等实时性要求严格的场景</w:t>
      </w:r>
      <w:r>
        <w:rPr>
          <w:rFonts w:hint="eastAsia"/>
          <w:color w:val="000000"/>
          <w:sz w:val="24"/>
          <w:szCs w:val="24"/>
          <w:lang w:eastAsia="zh-CN"/>
        </w:rPr>
        <w:t>；</w:t>
      </w:r>
      <w:r>
        <w:rPr>
          <w:rFonts w:hint="eastAsia"/>
          <w:color w:val="000000"/>
          <w:sz w:val="24"/>
          <w:szCs w:val="24"/>
          <w:lang w:val="en-US" w:eastAsia="zh-CN"/>
        </w:rPr>
        <w:t>第四，该编译器对操作系统有强依赖，一定要有操作系统的支持才能使用</w:t>
      </w:r>
      <w:r>
        <w:rPr>
          <w:rFonts w:hint="eastAsia" w:ascii="Times New Roman" w:hAnsi="Times New Roman" w:eastAsia="宋体"/>
          <w:color w:val="000000"/>
          <w:sz w:val="24"/>
          <w:szCs w:val="24"/>
        </w:rPr>
        <w:t>。因此，虽然运行时编译器的设计在通用AI框架中占据主导，但它并不天然适合所有部署场景，尤其不适合硬件资源紧张的边缘端和需要确定性执行时间的嵌入式系统。</w:t>
      </w:r>
    </w:p>
    <w:p w14:paraId="540565F0">
      <w:pPr>
        <w:pStyle w:val="4"/>
        <w:bidi w:val="0"/>
        <w:rPr>
          <w:rFonts w:ascii="Times New Roman" w:hAnsi="Times New Roman" w:eastAsia="宋体"/>
          <w:color w:val="000000"/>
          <w:sz w:val="24"/>
          <w:szCs w:val="24"/>
        </w:rPr>
      </w:pPr>
      <w:bookmarkStart w:id="4" w:name="_Toc25652"/>
      <w:r>
        <w:rPr>
          <w:rFonts w:ascii="Times New Roman" w:hAnsi="Times New Roman" w:eastAsia="黑体"/>
          <w:b/>
          <w:color w:val="000000"/>
          <w:sz w:val="28"/>
          <w:szCs w:val="28"/>
        </w:rPr>
        <w:t>1.</w:t>
      </w:r>
      <w:r>
        <w:rPr>
          <w:rFonts w:hint="eastAsia"/>
          <w:b/>
          <w:color w:val="000000"/>
          <w:sz w:val="28"/>
          <w:szCs w:val="28"/>
          <w:lang w:val="en-US" w:eastAsia="zh-CN"/>
        </w:rPr>
        <w:t>2.2</w:t>
      </w:r>
      <w:r>
        <w:rPr>
          <w:rFonts w:ascii="Times New Roman" w:hAnsi="Times New Roman" w:eastAsia="黑体"/>
          <w:b/>
          <w:color w:val="000000"/>
          <w:sz w:val="28"/>
          <w:szCs w:val="28"/>
        </w:rPr>
        <w:t xml:space="preserve"> </w:t>
      </w:r>
      <w:r>
        <w:rPr>
          <w:rFonts w:hint="eastAsia" w:eastAsia="黑体"/>
          <w:b/>
          <w:color w:val="000000"/>
          <w:sz w:val="28"/>
          <w:szCs w:val="28"/>
          <w:lang w:val="en-US" w:eastAsia="zh-CN"/>
        </w:rPr>
        <w:t>离线</w:t>
      </w:r>
      <w:r>
        <w:rPr>
          <w:rFonts w:hint="eastAsia"/>
          <w:b/>
          <w:color w:val="000000"/>
          <w:sz w:val="28"/>
          <w:szCs w:val="28"/>
          <w:lang w:val="en-US" w:eastAsia="zh-CN"/>
        </w:rPr>
        <w:t>AI编译器</w:t>
      </w:r>
      <w:bookmarkEnd w:id="4"/>
    </w:p>
    <w:p w14:paraId="6A57DE7D">
      <w:pPr>
        <w:spacing w:before="0" w:after="120" w:line="360" w:lineRule="auto"/>
        <w:ind w:firstLine="480"/>
        <w:rPr>
          <w:rFonts w:hint="eastAsia" w:ascii="Times New Roman" w:hAnsi="Times New Roman" w:eastAsia="宋体"/>
          <w:color w:val="000000"/>
          <w:sz w:val="24"/>
          <w:szCs w:val="24"/>
        </w:rPr>
      </w:pPr>
      <w:r>
        <w:rPr>
          <w:rFonts w:ascii="Times New Roman" w:hAnsi="Times New Roman" w:eastAsia="宋体"/>
          <w:color w:val="000000"/>
          <w:sz w:val="24"/>
          <w:szCs w:val="24"/>
        </w:rPr>
        <w:t>该</w:t>
      </w:r>
      <w:r>
        <w:rPr>
          <w:rFonts w:hint="eastAsia" w:ascii="Times New Roman" w:hAnsi="Times New Roman" w:eastAsia="宋体"/>
          <w:color w:val="000000"/>
          <w:sz w:val="24"/>
          <w:szCs w:val="24"/>
        </w:rPr>
        <w:t>离线AI编译器在部署阶段而非运行时完成所有编译工作。其典型流程为：编译器读取训练好的模型文件，经过图解析、算子映射、内存地址规划、指令序列生成和参数数据重排后，直接输出一份完整的可执行镜像——该镜像通常包含经过硬件适配的权重参数、固定布局的输入输出张量以及一条完整的指令流。运行时，目标设备只需从指定地址加载镜像并逐条执行指令，不再涉及任何编译期决策。</w:t>
      </w:r>
    </w:p>
    <w:p w14:paraId="3A0F0F07">
      <w:pPr>
        <w:spacing w:before="0" w:after="120" w:line="360" w:lineRule="auto"/>
        <w:ind w:firstLine="480"/>
        <w:rPr>
          <w:rFonts w:hint="eastAsia" w:ascii="Times New Roman" w:hAnsi="Times New Roman" w:eastAsia="宋体"/>
          <w:color w:val="000000"/>
          <w:sz w:val="24"/>
          <w:szCs w:val="24"/>
        </w:rPr>
      </w:pPr>
      <w:r>
        <w:rPr>
          <w:rFonts w:hint="eastAsia" w:ascii="Times New Roman" w:hAnsi="Times New Roman" w:eastAsia="宋体"/>
          <w:color w:val="000000"/>
          <w:sz w:val="24"/>
          <w:szCs w:val="24"/>
        </w:rPr>
        <w:t>这种设计源于专用硬件部署场景的独特需求。对于FPGA原型验证阶段的NPU或ASIC流片前的测试平台而言，硬件本身可能尚未配备完整的运行时环境——没有操作系统、没有动态内存管理，甚至没有标准加载器。此时，唯一可行的部署方式就是将编译产物直接固化为裸二进制镜像，通过烧写工具写入片内存储。在此类场景中，运行时编译器不仅无用，甚至根本无法运行。即便硬件已具备基础的运行时加载能力，离线编译的优势依然显著：部署产物完全确定，每条指令的地址和每个张量的偏移在编译时即已固定，便于硬件仿真器进行周期精确的时序验证；运行时无需携带图优化器、IR解析器或kernel选择器，固件体积和内存占用大幅降低；执行路径完全静态，不存在</w:t>
      </w:r>
      <w:r>
        <w:rPr>
          <w:rFonts w:hint="eastAsia"/>
          <w:color w:val="000000"/>
          <w:sz w:val="24"/>
          <w:szCs w:val="24"/>
          <w:lang w:val="en-US" w:eastAsia="zh-CN"/>
        </w:rPr>
        <w:t>动态</w:t>
      </w:r>
      <w:r>
        <w:rPr>
          <w:rFonts w:hint="eastAsia" w:ascii="Times New Roman" w:hAnsi="Times New Roman" w:eastAsia="宋体"/>
          <w:color w:val="000000"/>
          <w:sz w:val="24"/>
          <w:szCs w:val="24"/>
        </w:rPr>
        <w:t>编译带来的不确定延迟，满足实时系统的确定性要求。</w:t>
      </w:r>
    </w:p>
    <w:p w14:paraId="77011D1F">
      <w:pPr>
        <w:spacing w:before="0" w:after="120" w:line="360" w:lineRule="auto"/>
        <w:ind w:firstLine="480"/>
        <w:rPr>
          <w:rFonts w:hint="eastAsia" w:ascii="Times New Roman" w:hAnsi="Times New Roman" w:eastAsia="宋体"/>
          <w:color w:val="000000"/>
          <w:sz w:val="24"/>
          <w:szCs w:val="24"/>
        </w:rPr>
      </w:pPr>
      <w:r>
        <w:rPr>
          <w:rFonts w:hint="eastAsia" w:ascii="Times New Roman" w:hAnsi="Times New Roman" w:eastAsia="宋体"/>
          <w:color w:val="000000"/>
          <w:sz w:val="24"/>
          <w:szCs w:val="24"/>
        </w:rPr>
        <w:t>然而，离线编译的确定性是以灵活性为代价的。任何输入</w:t>
      </w:r>
      <w:r>
        <w:rPr>
          <w:rFonts w:hint="eastAsia"/>
          <w:color w:val="000000"/>
          <w:sz w:val="24"/>
          <w:szCs w:val="24"/>
          <w:lang w:val="en-US" w:eastAsia="zh-CN"/>
        </w:rPr>
        <w:t>模型</w:t>
      </w:r>
      <w:r>
        <w:rPr>
          <w:rFonts w:hint="eastAsia" w:ascii="Times New Roman" w:hAnsi="Times New Roman" w:eastAsia="宋体"/>
          <w:color w:val="000000"/>
          <w:sz w:val="24"/>
          <w:szCs w:val="24"/>
        </w:rPr>
        <w:t>的变化——都可能导致所有张量尺寸变化、地址分配变化甚至指令序列变化，需要重新执行完整的编译流程并重新烧写镜像。对于支持动态控制流的模型（如循环次数依赖输入数据长度的RNN），离线编译器通常难以处理，因为无法在编译时确定完整的执行路径。此外，离线编译器的开发和调试也面临独特挑战：编译产物是一个静态镜像，调试信息较少，一旦上板运行失败，定位问题往往需要结合仿真波形、指令日志和内存转储进行回溯，调试周期较长。</w:t>
      </w:r>
    </w:p>
    <w:p w14:paraId="3A2A5AC4">
      <w:pPr>
        <w:spacing w:before="0" w:after="120" w:line="360" w:lineRule="auto"/>
        <w:ind w:firstLine="480"/>
        <w:rPr>
          <w:rFonts w:hint="eastAsia" w:ascii="Times New Roman" w:hAnsi="Times New Roman" w:eastAsia="宋体"/>
          <w:color w:val="000000"/>
          <w:sz w:val="24"/>
          <w:szCs w:val="24"/>
        </w:rPr>
      </w:pPr>
      <w:r>
        <w:rPr>
          <w:rFonts w:hint="eastAsia" w:ascii="Times New Roman" w:hAnsi="Times New Roman" w:eastAsia="宋体"/>
          <w:color w:val="000000"/>
          <w:sz w:val="24"/>
          <w:szCs w:val="24"/>
        </w:rPr>
        <w:t>从系统架构角度看，离线AI编译器与传统</w:t>
      </w:r>
      <w:r>
        <w:rPr>
          <w:rFonts w:hint="eastAsia"/>
          <w:color w:val="000000"/>
          <w:sz w:val="24"/>
          <w:szCs w:val="24"/>
          <w:lang w:val="en-US" w:eastAsia="zh-CN"/>
        </w:rPr>
        <w:t>GCC</w:t>
      </w:r>
      <w:r>
        <w:rPr>
          <w:rFonts w:hint="eastAsia" w:ascii="Times New Roman" w:hAnsi="Times New Roman" w:eastAsia="宋体"/>
          <w:color w:val="000000"/>
          <w:sz w:val="24"/>
          <w:szCs w:val="24"/>
        </w:rPr>
        <w:t>编译器在工作模式上具有高度相似性——两者都在主机端完成编译、汇编和链接，目标产物直接烧录至设备端运行。这种相似性并非偶然：当目标硬件是资源极度受限的专用加速器时，将尽可能多的工作前移到编译阶段，本身就是一种经过工程实践充分验证的设计范式。IREE等系统虽然在部署链路中保留了运行时模块调用能力，但其核心编译流程仍以</w:t>
      </w:r>
      <w:r>
        <w:rPr>
          <w:rFonts w:hint="eastAsia"/>
          <w:color w:val="000000"/>
          <w:sz w:val="24"/>
          <w:szCs w:val="24"/>
          <w:lang w:val="en-US" w:eastAsia="zh-CN"/>
        </w:rPr>
        <w:t>离线编译器</w:t>
      </w:r>
      <w:r>
        <w:rPr>
          <w:rFonts w:hint="eastAsia" w:ascii="Times New Roman" w:hAnsi="Times New Roman" w:eastAsia="宋体"/>
          <w:color w:val="000000"/>
          <w:sz w:val="24"/>
          <w:szCs w:val="24"/>
        </w:rPr>
        <w:t>方式完成，</w:t>
      </w:r>
      <w:r>
        <w:rPr>
          <w:rFonts w:hint="eastAsia"/>
          <w:color w:val="000000"/>
          <w:sz w:val="24"/>
          <w:szCs w:val="24"/>
          <w:lang w:val="en-US" w:eastAsia="zh-CN"/>
        </w:rPr>
        <w:t>这也</w:t>
      </w:r>
      <w:r>
        <w:rPr>
          <w:rFonts w:hint="eastAsia" w:ascii="Times New Roman" w:hAnsi="Times New Roman" w:eastAsia="宋体"/>
          <w:color w:val="000000"/>
          <w:sz w:val="24"/>
          <w:szCs w:val="24"/>
        </w:rPr>
        <w:t>体现了离线编译在现代AI部署体系中的基础性地位。</w:t>
      </w:r>
    </w:p>
    <w:p w14:paraId="4B24AEFB">
      <w:pPr>
        <w:spacing w:before="0" w:after="120" w:line="360" w:lineRule="auto"/>
        <w:jc w:val="center"/>
        <w:rPr>
          <w:rFonts w:hint="eastAsia" w:ascii="Times New Roman" w:hAnsi="Times New Roman" w:eastAsia="宋体"/>
          <w:color w:val="000000"/>
          <w:sz w:val="24"/>
          <w:szCs w:val="24"/>
          <w:lang w:eastAsia="zh-CN"/>
        </w:rPr>
      </w:pPr>
      <w:r>
        <w:rPr>
          <w:rFonts w:hint="eastAsia" w:ascii="Times New Roman" w:hAnsi="Times New Roman" w:eastAsia="宋体"/>
          <w:color w:val="000000"/>
          <w:sz w:val="24"/>
          <w:szCs w:val="24"/>
          <w:lang w:eastAsia="zh-CN"/>
        </w:rPr>
        <w:drawing>
          <wp:inline distT="0" distB="0" distL="114300" distR="114300">
            <wp:extent cx="2621915" cy="5809615"/>
            <wp:effectExtent l="0" t="0" r="6985" b="635"/>
            <wp:docPr id="4" name="图片 4" descr="离线AI编译器流程图.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离线AI编译器流程图.drawio (1)"/>
                    <pic:cNvPicPr>
                      <a:picLocks noChangeAspect="1"/>
                    </pic:cNvPicPr>
                  </pic:nvPicPr>
                  <pic:blipFill>
                    <a:blip r:embed="rId10"/>
                    <a:stretch>
                      <a:fillRect/>
                    </a:stretch>
                  </pic:blipFill>
                  <pic:spPr>
                    <a:xfrm>
                      <a:off x="0" y="0"/>
                      <a:ext cx="2621915" cy="5809615"/>
                    </a:xfrm>
                    <a:prstGeom prst="rect">
                      <a:avLst/>
                    </a:prstGeom>
                  </pic:spPr>
                </pic:pic>
              </a:graphicData>
            </a:graphic>
          </wp:inline>
        </w:drawing>
      </w:r>
    </w:p>
    <w:p w14:paraId="2F424B28">
      <w:pPr>
        <w:spacing w:before="80" w:after="140" w:line="300" w:lineRule="auto"/>
        <w:jc w:val="center"/>
        <w:rPr>
          <w:rFonts w:hint="default" w:ascii="Times New Roman" w:hAnsi="Times New Roman" w:eastAsia="宋体"/>
          <w:color w:val="000000"/>
          <w:sz w:val="24"/>
          <w:szCs w:val="24"/>
          <w:lang w:val="en-US" w:eastAsia="zh-CN"/>
        </w:rPr>
      </w:pPr>
      <w:r>
        <w:rPr>
          <w:rFonts w:ascii="Times New Roman" w:hAnsi="Times New Roman" w:eastAsia="宋体"/>
          <w:color w:val="000000"/>
          <w:sz w:val="21"/>
          <w:szCs w:val="21"/>
        </w:rPr>
        <w:t>图</w:t>
      </w:r>
      <w:r>
        <w:rPr>
          <w:rFonts w:hint="eastAsia"/>
          <w:color w:val="000000"/>
          <w:sz w:val="21"/>
          <w:szCs w:val="21"/>
          <w:lang w:val="en-US" w:eastAsia="zh-CN"/>
        </w:rPr>
        <w:t>2 离线</w:t>
      </w:r>
      <w:r>
        <w:rPr>
          <w:rFonts w:ascii="Times New Roman" w:hAnsi="Times New Roman" w:eastAsia="宋体"/>
          <w:color w:val="000000"/>
          <w:sz w:val="21"/>
          <w:szCs w:val="21"/>
        </w:rPr>
        <w:t>AI</w:t>
      </w:r>
      <w:r>
        <w:rPr>
          <w:rFonts w:hint="eastAsia"/>
          <w:color w:val="000000"/>
          <w:sz w:val="21"/>
          <w:szCs w:val="21"/>
          <w:lang w:val="en-US" w:eastAsia="zh-CN"/>
        </w:rPr>
        <w:t>编译器工作流程图</w:t>
      </w:r>
    </w:p>
    <w:p w14:paraId="1F5ACA7A">
      <w:pPr>
        <w:pStyle w:val="4"/>
        <w:bidi w:val="0"/>
        <w:rPr>
          <w:rFonts w:ascii="Times New Roman" w:hAnsi="Times New Roman" w:eastAsia="宋体"/>
          <w:color w:val="000000"/>
          <w:sz w:val="24"/>
          <w:szCs w:val="24"/>
        </w:rPr>
      </w:pPr>
      <w:bookmarkStart w:id="5" w:name="_Toc20854"/>
      <w:r>
        <w:rPr>
          <w:rFonts w:ascii="Times New Roman" w:hAnsi="Times New Roman" w:eastAsia="黑体"/>
          <w:b/>
          <w:color w:val="000000"/>
          <w:sz w:val="28"/>
          <w:szCs w:val="28"/>
        </w:rPr>
        <w:t>1.</w:t>
      </w:r>
      <w:r>
        <w:rPr>
          <w:rFonts w:hint="eastAsia"/>
          <w:b/>
          <w:color w:val="000000"/>
          <w:sz w:val="28"/>
          <w:szCs w:val="28"/>
          <w:lang w:val="en-US" w:eastAsia="zh-CN"/>
        </w:rPr>
        <w:t>2.3</w:t>
      </w:r>
      <w:r>
        <w:rPr>
          <w:rFonts w:ascii="Times New Roman" w:hAnsi="Times New Roman" w:eastAsia="黑体"/>
          <w:b/>
          <w:color w:val="000000"/>
          <w:sz w:val="28"/>
          <w:szCs w:val="28"/>
        </w:rPr>
        <w:t xml:space="preserve"> </w:t>
      </w:r>
      <w:r>
        <w:rPr>
          <w:rFonts w:hint="eastAsia" w:eastAsia="黑体"/>
          <w:b/>
          <w:color w:val="000000"/>
          <w:sz w:val="28"/>
          <w:szCs w:val="28"/>
          <w:lang w:val="en-US" w:eastAsia="zh-CN"/>
        </w:rPr>
        <w:t>混合</w:t>
      </w:r>
      <w:r>
        <w:rPr>
          <w:rFonts w:hint="eastAsia"/>
          <w:b/>
          <w:color w:val="000000"/>
          <w:sz w:val="28"/>
          <w:szCs w:val="28"/>
          <w:lang w:val="en-US" w:eastAsia="zh-CN"/>
        </w:rPr>
        <w:t>AI编译器</w:t>
      </w:r>
      <w:bookmarkEnd w:id="5"/>
    </w:p>
    <w:p w14:paraId="110979ED">
      <w:pPr>
        <w:spacing w:before="0" w:after="120" w:line="360" w:lineRule="auto"/>
        <w:ind w:firstLine="480"/>
        <w:rPr>
          <w:rFonts w:hint="eastAsia" w:ascii="Times New Roman" w:hAnsi="Times New Roman" w:eastAsia="宋体"/>
          <w:color w:val="000000"/>
          <w:sz w:val="24"/>
          <w:szCs w:val="24"/>
        </w:rPr>
      </w:pPr>
      <w:r>
        <w:rPr>
          <w:rFonts w:hint="eastAsia" w:ascii="Times New Roman" w:hAnsi="Times New Roman" w:eastAsia="宋体"/>
          <w:color w:val="000000"/>
          <w:sz w:val="24"/>
          <w:szCs w:val="24"/>
        </w:rPr>
        <w:t>混合AI编译器试图在运行时灵活性与离线确定性之间建立折中方案。其典型设计思路为：将模型结构解析、大部分图级优化和硬件无关的变换在离线阶段完成，生成一个中间表示或部分编译的模块；运行时，系统仅需完成设备绑定、输入输出地址绑定、特定kernel的延迟选择或预编译缓存的加载等轻量级操作，即可启动推理。这种方式既避免了纯离线编译器对输入变化的零容忍，也规避了纯运行时编译器在资源受限设备上的启动开销。</w:t>
      </w:r>
    </w:p>
    <w:p w14:paraId="052DAC3A">
      <w:pPr>
        <w:spacing w:before="0" w:after="120" w:line="360" w:lineRule="auto"/>
        <w:ind w:firstLine="480"/>
        <w:rPr>
          <w:rFonts w:hint="eastAsia" w:ascii="Times New Roman" w:hAnsi="Times New Roman" w:eastAsia="宋体"/>
          <w:color w:val="000000"/>
          <w:sz w:val="24"/>
          <w:szCs w:val="24"/>
        </w:rPr>
      </w:pPr>
      <w:r>
        <w:rPr>
          <w:rFonts w:hint="eastAsia" w:ascii="Times New Roman" w:hAnsi="Times New Roman" w:eastAsia="宋体"/>
          <w:color w:val="000000"/>
          <w:sz w:val="24"/>
          <w:szCs w:val="24"/>
        </w:rPr>
        <w:t>IREE是该类编译器的典型代表。IREE采用基于MLIR的多层编译管道：首先将模型（来自TensorFlow、PyTorch或TFLite）导入至若干高层dialect，经过形状推导和算子泛化后，最终在编译期生成一个可序列化的原生二进制模块。运行时，IREE的运行时系统负责加载该模块、绑定具体的设备句柄和设备内部分配器，并按需解析模块中的函数入口完成执行调用。整个过程的核心编译工作在离线阶段已经完成，运行时仅承担加载和调度职责，运行负担显著低于PyTorch或ONNX Runtime等纯运行时编译器，同时又保留了在不重新编译的前提下更换后端设备或调整内存分配策略的能力。</w:t>
      </w:r>
    </w:p>
    <w:p w14:paraId="0C89DA37">
      <w:pPr>
        <w:spacing w:before="0" w:after="120" w:line="360" w:lineRule="auto"/>
        <w:ind w:firstLine="480"/>
        <w:rPr>
          <w:rFonts w:hint="eastAsia" w:ascii="Times New Roman" w:hAnsi="Times New Roman" w:eastAsia="宋体"/>
          <w:color w:val="000000"/>
          <w:sz w:val="24"/>
          <w:szCs w:val="24"/>
        </w:rPr>
      </w:pPr>
      <w:r>
        <w:rPr>
          <w:rFonts w:hint="eastAsia" w:ascii="Times New Roman" w:hAnsi="Times New Roman" w:eastAsia="宋体"/>
          <w:color w:val="000000"/>
          <w:sz w:val="24"/>
          <w:szCs w:val="24"/>
        </w:rPr>
        <w:t>混合方式的取舍在于系统复杂度。编译器需要同时维护离线编译管道和运行时加载协议的接口一致性，任何一方的变更都可能波及另一方；调试时需要在编译期和运行期之间来回切换视角，定位问题的难度也随之上升。此外，混合编译器对输入</w:t>
      </w:r>
      <w:r>
        <w:rPr>
          <w:rFonts w:hint="eastAsia"/>
          <w:color w:val="000000"/>
          <w:sz w:val="24"/>
          <w:szCs w:val="24"/>
          <w:lang w:val="en-US" w:eastAsia="zh-CN"/>
        </w:rPr>
        <w:t>形状</w:t>
      </w:r>
      <w:r>
        <w:rPr>
          <w:rFonts w:hint="eastAsia" w:ascii="Times New Roman" w:hAnsi="Times New Roman" w:eastAsia="宋体"/>
          <w:color w:val="000000"/>
          <w:sz w:val="24"/>
          <w:szCs w:val="24"/>
        </w:rPr>
        <w:t>变化的容忍度并非无限——如果</w:t>
      </w:r>
      <w:r>
        <w:rPr>
          <w:rFonts w:hint="eastAsia"/>
          <w:color w:val="000000"/>
          <w:sz w:val="24"/>
          <w:szCs w:val="24"/>
          <w:lang w:val="en-US" w:eastAsia="zh-CN"/>
        </w:rPr>
        <w:t>形状</w:t>
      </w:r>
      <w:r>
        <w:rPr>
          <w:rFonts w:hint="eastAsia" w:ascii="Times New Roman" w:hAnsi="Times New Roman" w:eastAsia="宋体"/>
          <w:color w:val="000000"/>
          <w:sz w:val="24"/>
          <w:szCs w:val="24"/>
        </w:rPr>
        <w:t>变化导致内存布局需要整体重排，通常仍然需要触发重新编译而非由运行时动态适配。总体而言，混合AI编译器更适合那些硬件后端相对固定、但部署形态存在一定变化的场景，例如需要在多个不同型号NPU之间迁移的推理应用，或需要在开发阶段频繁调整内存布局但生产环境保持稳定的项目。</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1"/>
        <w:gridCol w:w="2311"/>
      </w:tblGrid>
      <w:tr w14:paraId="62723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3BE06163">
            <w:pPr>
              <w:widowControl w:val="0"/>
              <w:spacing w:before="0" w:after="120" w:line="360" w:lineRule="auto"/>
              <w:rPr>
                <w:rFonts w:hint="default" w:eastAsia="宋体"/>
                <w:color w:val="000000"/>
                <w:sz w:val="24"/>
                <w:szCs w:val="24"/>
                <w:vertAlign w:val="baseline"/>
                <w:lang w:val="en-US" w:eastAsia="zh-CN"/>
              </w:rPr>
            </w:pPr>
            <w:r>
              <w:rPr>
                <w:rFonts w:hint="eastAsia"/>
                <w:color w:val="000000"/>
                <w:sz w:val="24"/>
                <w:szCs w:val="24"/>
                <w:vertAlign w:val="baseline"/>
                <w:lang w:val="en-US" w:eastAsia="zh-CN"/>
              </w:rPr>
              <w:t>类型</w:t>
            </w:r>
          </w:p>
        </w:tc>
        <w:tc>
          <w:tcPr>
            <w:tcW w:w="2310" w:type="dxa"/>
          </w:tcPr>
          <w:p w14:paraId="15648E03">
            <w:pPr>
              <w:widowControl w:val="0"/>
              <w:spacing w:before="0" w:after="120" w:line="360" w:lineRule="auto"/>
              <w:rPr>
                <w:rFonts w:hint="default"/>
                <w:color w:val="000000"/>
                <w:sz w:val="24"/>
                <w:szCs w:val="24"/>
                <w:vertAlign w:val="baseline"/>
                <w:lang w:val="en-US" w:eastAsia="zh-CN"/>
              </w:rPr>
            </w:pPr>
            <w:r>
              <w:rPr>
                <w:rFonts w:hint="eastAsia"/>
                <w:color w:val="000000"/>
                <w:sz w:val="24"/>
                <w:szCs w:val="24"/>
                <w:vertAlign w:val="baseline"/>
                <w:lang w:val="en-US" w:eastAsia="zh-CN"/>
              </w:rPr>
              <w:t>代表</w:t>
            </w:r>
          </w:p>
        </w:tc>
        <w:tc>
          <w:tcPr>
            <w:tcW w:w="2311" w:type="dxa"/>
          </w:tcPr>
          <w:p w14:paraId="784C6E11">
            <w:pPr>
              <w:widowControl w:val="0"/>
              <w:spacing w:before="0" w:after="120" w:line="360" w:lineRule="auto"/>
              <w:rPr>
                <w:rFonts w:hint="default"/>
                <w:color w:val="000000"/>
                <w:sz w:val="24"/>
                <w:szCs w:val="24"/>
                <w:vertAlign w:val="baseline"/>
                <w:lang w:val="en-US" w:eastAsia="zh-CN"/>
              </w:rPr>
            </w:pPr>
            <w:r>
              <w:rPr>
                <w:rFonts w:hint="eastAsia"/>
                <w:color w:val="000000"/>
                <w:sz w:val="24"/>
                <w:szCs w:val="24"/>
                <w:vertAlign w:val="baseline"/>
                <w:lang w:val="en-US" w:eastAsia="zh-CN"/>
              </w:rPr>
              <w:t>主要特点</w:t>
            </w:r>
          </w:p>
        </w:tc>
        <w:tc>
          <w:tcPr>
            <w:tcW w:w="2311" w:type="dxa"/>
          </w:tcPr>
          <w:p w14:paraId="093476A5">
            <w:pPr>
              <w:widowControl w:val="0"/>
              <w:spacing w:before="0" w:after="120" w:line="360" w:lineRule="auto"/>
              <w:rPr>
                <w:rFonts w:hint="default"/>
                <w:color w:val="000000"/>
                <w:sz w:val="24"/>
                <w:szCs w:val="24"/>
                <w:vertAlign w:val="baseline"/>
                <w:lang w:val="en-US" w:eastAsia="zh-CN"/>
              </w:rPr>
            </w:pPr>
            <w:r>
              <w:rPr>
                <w:rFonts w:hint="eastAsia"/>
                <w:color w:val="000000"/>
                <w:sz w:val="24"/>
                <w:szCs w:val="24"/>
                <w:vertAlign w:val="baseline"/>
                <w:lang w:val="en-US" w:eastAsia="zh-CN"/>
              </w:rPr>
              <w:t>适用场景</w:t>
            </w:r>
          </w:p>
        </w:tc>
      </w:tr>
      <w:tr w14:paraId="4CEC5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538E46EF">
            <w:pPr>
              <w:widowControl w:val="0"/>
              <w:spacing w:before="0" w:after="120" w:line="360" w:lineRule="auto"/>
              <w:rPr>
                <w:rFonts w:hint="default"/>
                <w:color w:val="000000"/>
                <w:sz w:val="24"/>
                <w:szCs w:val="24"/>
                <w:vertAlign w:val="baseline"/>
                <w:lang w:val="en-US" w:eastAsia="zh-CN"/>
              </w:rPr>
            </w:pPr>
            <w:r>
              <w:rPr>
                <w:rFonts w:hint="eastAsia"/>
                <w:color w:val="000000"/>
                <w:sz w:val="24"/>
                <w:szCs w:val="24"/>
                <w:vertAlign w:val="baseline"/>
                <w:lang w:val="en-US" w:eastAsia="zh-CN"/>
              </w:rPr>
              <w:t>运行时AI编译器</w:t>
            </w:r>
          </w:p>
        </w:tc>
        <w:tc>
          <w:tcPr>
            <w:tcW w:w="2310" w:type="dxa"/>
          </w:tcPr>
          <w:p w14:paraId="47EC8568">
            <w:pPr>
              <w:widowControl w:val="0"/>
              <w:spacing w:before="0" w:after="120" w:line="360" w:lineRule="auto"/>
              <w:rPr>
                <w:rFonts w:hint="eastAsia"/>
                <w:color w:val="000000"/>
                <w:sz w:val="24"/>
                <w:szCs w:val="24"/>
                <w:vertAlign w:val="baseline"/>
                <w:lang w:eastAsia="zh-CN"/>
              </w:rPr>
            </w:pPr>
            <w:r>
              <w:rPr>
                <w:rFonts w:hint="eastAsia"/>
                <w:color w:val="000000"/>
                <w:sz w:val="24"/>
                <w:szCs w:val="24"/>
                <w:vertAlign w:val="baseline"/>
                <w:lang w:eastAsia="zh-CN"/>
              </w:rPr>
              <w:t>ONNX Runtime、TensorRT、OpenVINO</w:t>
            </w:r>
          </w:p>
        </w:tc>
        <w:tc>
          <w:tcPr>
            <w:tcW w:w="2311" w:type="dxa"/>
          </w:tcPr>
          <w:p w14:paraId="4EFAAE3F">
            <w:pPr>
              <w:widowControl w:val="0"/>
              <w:spacing w:before="0" w:after="120" w:line="360" w:lineRule="auto"/>
              <w:rPr>
                <w:rFonts w:hint="eastAsia"/>
                <w:color w:val="000000"/>
                <w:sz w:val="24"/>
                <w:szCs w:val="24"/>
                <w:vertAlign w:val="baseline"/>
                <w:lang w:eastAsia="zh-CN"/>
              </w:rPr>
            </w:pPr>
            <w:r>
              <w:rPr>
                <w:rFonts w:hint="eastAsia"/>
                <w:color w:val="000000"/>
                <w:sz w:val="24"/>
                <w:szCs w:val="24"/>
                <w:vertAlign w:val="baseline"/>
                <w:lang w:eastAsia="zh-CN"/>
              </w:rPr>
              <w:t>侧重模型加载、图优化、kernel/engine 选择和执行调度</w:t>
            </w:r>
          </w:p>
        </w:tc>
        <w:tc>
          <w:tcPr>
            <w:tcW w:w="2311" w:type="dxa"/>
          </w:tcPr>
          <w:p w14:paraId="64A5DE5E">
            <w:pPr>
              <w:widowControl w:val="0"/>
              <w:spacing w:before="0" w:after="120" w:line="360" w:lineRule="auto"/>
              <w:rPr>
                <w:rFonts w:hint="default"/>
                <w:color w:val="000000"/>
                <w:sz w:val="24"/>
                <w:szCs w:val="24"/>
                <w:vertAlign w:val="baseline"/>
                <w:lang w:val="en-US" w:eastAsia="zh-CN"/>
              </w:rPr>
            </w:pPr>
            <w:r>
              <w:rPr>
                <w:rFonts w:hint="eastAsia"/>
                <w:color w:val="000000"/>
                <w:sz w:val="24"/>
                <w:szCs w:val="24"/>
                <w:vertAlign w:val="baseline"/>
                <w:lang w:val="en-US" w:eastAsia="zh-CN"/>
              </w:rPr>
              <w:t>有操作系统支持，模型庞大，需实时修改模型的场景</w:t>
            </w:r>
          </w:p>
        </w:tc>
      </w:tr>
      <w:tr w14:paraId="55E41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04F54C0F">
            <w:pPr>
              <w:widowControl w:val="0"/>
              <w:spacing w:before="0" w:after="120" w:line="360" w:lineRule="auto"/>
              <w:rPr>
                <w:rFonts w:hint="default"/>
                <w:color w:val="000000"/>
                <w:sz w:val="24"/>
                <w:szCs w:val="24"/>
                <w:vertAlign w:val="baseline"/>
                <w:lang w:val="en-US" w:eastAsia="zh-CN"/>
              </w:rPr>
            </w:pPr>
            <w:r>
              <w:rPr>
                <w:rFonts w:hint="eastAsia"/>
                <w:color w:val="000000"/>
                <w:sz w:val="24"/>
                <w:szCs w:val="24"/>
                <w:vertAlign w:val="baseline"/>
                <w:lang w:val="en-US" w:eastAsia="zh-CN"/>
              </w:rPr>
              <w:t>离线AI编译器</w:t>
            </w:r>
          </w:p>
        </w:tc>
        <w:tc>
          <w:tcPr>
            <w:tcW w:w="2310" w:type="dxa"/>
          </w:tcPr>
          <w:p w14:paraId="47BBC1BD">
            <w:pPr>
              <w:widowControl w:val="0"/>
              <w:spacing w:before="0" w:after="120" w:line="360" w:lineRule="auto"/>
              <w:rPr>
                <w:rFonts w:hint="eastAsia"/>
                <w:color w:val="000000"/>
                <w:sz w:val="24"/>
                <w:szCs w:val="24"/>
                <w:vertAlign w:val="baseline"/>
                <w:lang w:eastAsia="zh-CN"/>
              </w:rPr>
            </w:pPr>
            <w:r>
              <w:rPr>
                <w:rFonts w:hint="eastAsia"/>
                <w:color w:val="000000"/>
                <w:sz w:val="24"/>
                <w:szCs w:val="24"/>
                <w:vertAlign w:val="baseline"/>
                <w:lang w:eastAsia="zh-CN"/>
              </w:rPr>
              <w:t>Arm Vela、Vivante ACUITY (离线模式)、EsAAC</w:t>
            </w:r>
          </w:p>
        </w:tc>
        <w:tc>
          <w:tcPr>
            <w:tcW w:w="2311" w:type="dxa"/>
          </w:tcPr>
          <w:p w14:paraId="655F4134">
            <w:pPr>
              <w:widowControl w:val="0"/>
              <w:spacing w:before="0" w:after="120" w:line="360" w:lineRule="auto"/>
              <w:rPr>
                <w:rFonts w:hint="default"/>
                <w:color w:val="000000"/>
                <w:sz w:val="24"/>
                <w:szCs w:val="24"/>
                <w:vertAlign w:val="baseline"/>
                <w:lang w:val="en-US" w:eastAsia="zh-CN"/>
              </w:rPr>
            </w:pPr>
            <w:r>
              <w:rPr>
                <w:rFonts w:hint="eastAsia"/>
                <w:color w:val="000000"/>
                <w:sz w:val="24"/>
                <w:szCs w:val="24"/>
                <w:vertAlign w:val="baseline"/>
                <w:lang w:eastAsia="zh-CN"/>
              </w:rPr>
              <w:t>围绕固定指令生成静态</w:t>
            </w:r>
            <w:r>
              <w:rPr>
                <w:rFonts w:hint="eastAsia"/>
                <w:color w:val="000000"/>
                <w:sz w:val="24"/>
                <w:szCs w:val="24"/>
                <w:vertAlign w:val="baseline"/>
                <w:lang w:val="en-US" w:eastAsia="zh-CN"/>
              </w:rPr>
              <w:t>可执行文件</w:t>
            </w:r>
          </w:p>
        </w:tc>
        <w:tc>
          <w:tcPr>
            <w:tcW w:w="2311" w:type="dxa"/>
          </w:tcPr>
          <w:p w14:paraId="2B4EAD01">
            <w:pPr>
              <w:widowControl w:val="0"/>
              <w:spacing w:before="0" w:after="120" w:line="360" w:lineRule="auto"/>
              <w:rPr>
                <w:rFonts w:hint="eastAsia"/>
                <w:color w:val="000000"/>
                <w:sz w:val="24"/>
                <w:szCs w:val="24"/>
                <w:vertAlign w:val="baseline"/>
                <w:lang w:eastAsia="zh-CN"/>
              </w:rPr>
            </w:pPr>
            <w:r>
              <w:rPr>
                <w:rFonts w:hint="eastAsia"/>
                <w:color w:val="000000"/>
                <w:sz w:val="24"/>
                <w:szCs w:val="24"/>
                <w:vertAlign w:val="baseline"/>
                <w:lang w:eastAsia="zh-CN"/>
              </w:rPr>
              <w:t>FPGA/ASIC原型验证、资源受限嵌入式系统</w:t>
            </w:r>
          </w:p>
        </w:tc>
      </w:tr>
      <w:tr w14:paraId="7B961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4B3EA474">
            <w:pPr>
              <w:widowControl w:val="0"/>
              <w:spacing w:before="0" w:after="120" w:line="360" w:lineRule="auto"/>
              <w:rPr>
                <w:rFonts w:hint="default"/>
                <w:color w:val="000000"/>
                <w:sz w:val="24"/>
                <w:szCs w:val="24"/>
                <w:vertAlign w:val="baseline"/>
                <w:lang w:val="en-US" w:eastAsia="zh-CN"/>
              </w:rPr>
            </w:pPr>
            <w:r>
              <w:rPr>
                <w:rFonts w:hint="eastAsia"/>
                <w:color w:val="000000"/>
                <w:sz w:val="24"/>
                <w:szCs w:val="24"/>
                <w:vertAlign w:val="baseline"/>
                <w:lang w:val="en-US" w:eastAsia="zh-CN"/>
              </w:rPr>
              <w:t>混合AI编译器</w:t>
            </w:r>
          </w:p>
        </w:tc>
        <w:tc>
          <w:tcPr>
            <w:tcW w:w="2310" w:type="dxa"/>
          </w:tcPr>
          <w:p w14:paraId="2C099E3B">
            <w:pPr>
              <w:widowControl w:val="0"/>
              <w:spacing w:before="0" w:after="120" w:line="360" w:lineRule="auto"/>
              <w:rPr>
                <w:rFonts w:hint="default"/>
                <w:color w:val="000000"/>
                <w:sz w:val="24"/>
                <w:szCs w:val="24"/>
                <w:vertAlign w:val="baseline"/>
                <w:lang w:val="en-US" w:eastAsia="zh-CN"/>
              </w:rPr>
            </w:pPr>
            <w:r>
              <w:rPr>
                <w:rFonts w:hint="eastAsia"/>
                <w:color w:val="000000"/>
                <w:sz w:val="24"/>
                <w:szCs w:val="24"/>
                <w:vertAlign w:val="baseline"/>
                <w:lang w:val="en-US" w:eastAsia="zh-CN"/>
              </w:rPr>
              <w:t>IREE</w:t>
            </w:r>
          </w:p>
        </w:tc>
        <w:tc>
          <w:tcPr>
            <w:tcW w:w="2311" w:type="dxa"/>
          </w:tcPr>
          <w:p w14:paraId="1C3604C8">
            <w:pPr>
              <w:widowControl w:val="0"/>
              <w:spacing w:before="0" w:after="120" w:line="360" w:lineRule="auto"/>
              <w:rPr>
                <w:rFonts w:hint="eastAsia"/>
                <w:color w:val="000000"/>
                <w:sz w:val="24"/>
                <w:szCs w:val="24"/>
                <w:vertAlign w:val="baseline"/>
                <w:lang w:eastAsia="zh-CN"/>
              </w:rPr>
            </w:pPr>
            <w:r>
              <w:rPr>
                <w:rFonts w:hint="eastAsia"/>
                <w:color w:val="000000"/>
                <w:sz w:val="24"/>
                <w:szCs w:val="24"/>
                <w:vertAlign w:val="baseline"/>
                <w:lang w:eastAsia="zh-CN"/>
              </w:rPr>
              <w:t>离线阶段完成模型解析和大部分图优化，运行时仅完成轻量级调度</w:t>
            </w:r>
          </w:p>
        </w:tc>
        <w:tc>
          <w:tcPr>
            <w:tcW w:w="2311" w:type="dxa"/>
          </w:tcPr>
          <w:p w14:paraId="2DCF60C5">
            <w:pPr>
              <w:widowControl w:val="0"/>
              <w:spacing w:before="0" w:after="120" w:line="360" w:lineRule="auto"/>
              <w:rPr>
                <w:rFonts w:hint="default"/>
                <w:color w:val="000000"/>
                <w:sz w:val="24"/>
                <w:szCs w:val="24"/>
                <w:vertAlign w:val="baseline"/>
                <w:lang w:val="en-US" w:eastAsia="zh-CN"/>
              </w:rPr>
            </w:pPr>
            <w:r>
              <w:rPr>
                <w:rFonts w:hint="eastAsia"/>
                <w:color w:val="000000"/>
                <w:sz w:val="24"/>
                <w:szCs w:val="24"/>
                <w:vertAlign w:val="baseline"/>
                <w:lang w:val="en-US" w:eastAsia="zh-CN"/>
              </w:rPr>
              <w:t>有操作系统支持，适合硬件侧需经常修改的场景</w:t>
            </w:r>
          </w:p>
        </w:tc>
      </w:tr>
    </w:tbl>
    <w:p w14:paraId="03188864">
      <w:pPr>
        <w:spacing w:before="80" w:after="140" w:line="300" w:lineRule="auto"/>
        <w:jc w:val="center"/>
        <w:rPr>
          <w:rFonts w:hint="eastAsia" w:ascii="Times New Roman" w:hAnsi="Times New Roman" w:eastAsia="宋体"/>
          <w:color w:val="000000"/>
          <w:sz w:val="24"/>
          <w:szCs w:val="24"/>
        </w:rPr>
      </w:pPr>
      <w:r>
        <w:rPr>
          <w:rFonts w:ascii="Times New Roman" w:hAnsi="Times New Roman" w:eastAsia="宋体"/>
          <w:color w:val="000000"/>
          <w:sz w:val="21"/>
          <w:szCs w:val="21"/>
        </w:rPr>
        <w:t>表1 AI编译器体系的典型类型对比</w:t>
      </w:r>
    </w:p>
    <w:p w14:paraId="1C5E01C6">
      <w:pPr>
        <w:pStyle w:val="3"/>
        <w:spacing w:before="240" w:after="120" w:line="360" w:lineRule="auto"/>
      </w:pPr>
      <w:bookmarkStart w:id="6" w:name="_Toc12658"/>
      <w:r>
        <w:rPr>
          <w:rFonts w:ascii="Times New Roman" w:hAnsi="Times New Roman" w:eastAsia="黑体"/>
          <w:b/>
          <w:color w:val="000000"/>
          <w:sz w:val="28"/>
          <w:szCs w:val="28"/>
        </w:rPr>
        <w:t>1.</w:t>
      </w:r>
      <w:r>
        <w:rPr>
          <w:rFonts w:hint="eastAsia"/>
          <w:b/>
          <w:color w:val="000000"/>
          <w:sz w:val="28"/>
          <w:szCs w:val="28"/>
          <w:lang w:val="en-US" w:eastAsia="zh-CN"/>
        </w:rPr>
        <w:t>3</w:t>
      </w:r>
      <w:r>
        <w:rPr>
          <w:rFonts w:ascii="Times New Roman" w:hAnsi="Times New Roman" w:eastAsia="黑体"/>
          <w:b/>
          <w:color w:val="000000"/>
          <w:sz w:val="28"/>
          <w:szCs w:val="28"/>
        </w:rPr>
        <w:t xml:space="preserve"> 当前编译器的技术定位</w:t>
      </w:r>
      <w:bookmarkEnd w:id="6"/>
    </w:p>
    <w:p w14:paraId="6E16A471">
      <w:pPr>
        <w:spacing w:before="0" w:after="120" w:line="360" w:lineRule="auto"/>
        <w:ind w:firstLine="480"/>
      </w:pPr>
      <w:r>
        <w:rPr>
          <w:rFonts w:ascii="Times New Roman" w:hAnsi="Times New Roman" w:eastAsia="宋体"/>
          <w:color w:val="000000"/>
          <w:sz w:val="24"/>
          <w:szCs w:val="24"/>
        </w:rPr>
        <w:t xml:space="preserve">本工程中的编译器服务于自研 NPU </w:t>
      </w:r>
      <w:r>
        <w:rPr>
          <w:rFonts w:hint="eastAsia"/>
          <w:color w:val="000000"/>
          <w:sz w:val="24"/>
          <w:szCs w:val="24"/>
          <w:lang w:val="en-US" w:eastAsia="zh-CN"/>
        </w:rPr>
        <w:t>在</w:t>
      </w:r>
      <w:r>
        <w:rPr>
          <w:rFonts w:ascii="Times New Roman" w:hAnsi="Times New Roman" w:eastAsia="宋体"/>
          <w:color w:val="000000"/>
          <w:sz w:val="24"/>
          <w:szCs w:val="24"/>
        </w:rPr>
        <w:t xml:space="preserve">FPGA </w:t>
      </w:r>
      <w:r>
        <w:rPr>
          <w:rFonts w:hint="eastAsia"/>
          <w:color w:val="000000"/>
          <w:sz w:val="24"/>
          <w:szCs w:val="24"/>
          <w:lang w:val="en-US" w:eastAsia="zh-CN"/>
        </w:rPr>
        <w:t>上</w:t>
      </w:r>
      <w:r>
        <w:rPr>
          <w:rFonts w:ascii="Times New Roman" w:hAnsi="Times New Roman" w:eastAsia="宋体"/>
          <w:color w:val="000000"/>
          <w:sz w:val="24"/>
          <w:szCs w:val="24"/>
        </w:rPr>
        <w:t>的部署验证，其直接目标是在明确硬件约束下，把</w:t>
      </w:r>
      <w:r>
        <w:rPr>
          <w:rFonts w:hint="eastAsia"/>
          <w:color w:val="000000"/>
          <w:sz w:val="24"/>
          <w:szCs w:val="24"/>
          <w:lang w:val="en-US" w:eastAsia="zh-CN"/>
        </w:rPr>
        <w:t>指定</w:t>
      </w:r>
      <w:r>
        <w:rPr>
          <w:rFonts w:ascii="Times New Roman" w:hAnsi="Times New Roman" w:eastAsia="宋体"/>
          <w:color w:val="000000"/>
          <w:sz w:val="24"/>
          <w:szCs w:val="24"/>
        </w:rPr>
        <w:t>模型转换为 NPU 可执行的初始化镜像。与 TVM、XLA 等通用框架相比，当前编译器的后端语义更贴近硬件指令手册：每个算子最终对应若干条</w:t>
      </w:r>
      <w:r>
        <w:rPr>
          <w:rFonts w:hint="eastAsia"/>
          <w:color w:val="000000"/>
          <w:sz w:val="24"/>
          <w:szCs w:val="24"/>
          <w:lang w:val="en-US" w:eastAsia="zh-CN"/>
        </w:rPr>
        <w:t>寄存器</w:t>
      </w:r>
      <w:r>
        <w:rPr>
          <w:rFonts w:ascii="Times New Roman" w:hAnsi="Times New Roman" w:eastAsia="宋体"/>
          <w:color w:val="000000"/>
          <w:sz w:val="24"/>
          <w:szCs w:val="24"/>
        </w:rPr>
        <w:t>配置指令和计算指令。</w:t>
      </w:r>
    </w:p>
    <w:p w14:paraId="32C210B1">
      <w:pPr>
        <w:spacing w:before="0" w:after="120" w:line="360" w:lineRule="auto"/>
        <w:ind w:firstLine="480"/>
      </w:pPr>
      <w:r>
        <w:rPr>
          <w:rFonts w:ascii="Times New Roman" w:hAnsi="Times New Roman" w:eastAsia="宋体"/>
          <w:color w:val="000000"/>
          <w:sz w:val="24"/>
          <w:szCs w:val="24"/>
        </w:rPr>
        <w:t>该编译器</w:t>
      </w:r>
      <w:r>
        <w:rPr>
          <w:rFonts w:hint="eastAsia"/>
          <w:color w:val="000000"/>
          <w:sz w:val="24"/>
          <w:szCs w:val="24"/>
          <w:lang w:val="en-US" w:eastAsia="zh-CN"/>
        </w:rPr>
        <w:t>目前</w:t>
      </w:r>
      <w:r>
        <w:rPr>
          <w:rFonts w:ascii="Times New Roman" w:hAnsi="Times New Roman" w:eastAsia="宋体"/>
          <w:color w:val="000000"/>
          <w:sz w:val="24"/>
          <w:szCs w:val="24"/>
        </w:rPr>
        <w:t>已经具备较完整的离线编译链路。前端读取模型</w:t>
      </w:r>
      <w:r>
        <w:rPr>
          <w:rFonts w:hint="eastAsia"/>
          <w:color w:val="000000"/>
          <w:sz w:val="24"/>
          <w:szCs w:val="24"/>
          <w:lang w:val="en-US" w:eastAsia="zh-CN"/>
        </w:rPr>
        <w:t>文件</w:t>
      </w:r>
      <w:r>
        <w:rPr>
          <w:rFonts w:ascii="Times New Roman" w:hAnsi="Times New Roman" w:eastAsia="宋体"/>
          <w:color w:val="000000"/>
          <w:sz w:val="24"/>
          <w:szCs w:val="24"/>
        </w:rPr>
        <w:t xml:space="preserve">，解析 </w:t>
      </w:r>
      <w:r>
        <w:rPr>
          <w:rFonts w:hint="eastAsia"/>
          <w:color w:val="000000"/>
          <w:sz w:val="24"/>
          <w:szCs w:val="24"/>
          <w:lang w:val="en-US" w:eastAsia="zh-CN"/>
        </w:rPr>
        <w:t>出不同的算子</w:t>
      </w:r>
      <w:r>
        <w:rPr>
          <w:rFonts w:ascii="Times New Roman" w:hAnsi="Times New Roman" w:eastAsia="宋体"/>
          <w:color w:val="000000"/>
          <w:sz w:val="24"/>
          <w:szCs w:val="24"/>
        </w:rPr>
        <w:t>节点。</w:t>
      </w:r>
      <w:r>
        <w:rPr>
          <w:rFonts w:hint="eastAsia"/>
          <w:color w:val="000000"/>
          <w:sz w:val="24"/>
          <w:szCs w:val="24"/>
          <w:lang w:val="en-US" w:eastAsia="zh-CN"/>
        </w:rPr>
        <w:t>并</w:t>
      </w:r>
      <w:r>
        <w:rPr>
          <w:rFonts w:ascii="Times New Roman" w:hAnsi="Times New Roman" w:eastAsia="宋体"/>
          <w:color w:val="000000"/>
          <w:sz w:val="24"/>
          <w:szCs w:val="24"/>
        </w:rPr>
        <w:t>以 JSON 形式保存标准</w:t>
      </w:r>
      <w:r>
        <w:rPr>
          <w:rFonts w:hint="eastAsia"/>
          <w:color w:val="000000"/>
          <w:sz w:val="24"/>
          <w:szCs w:val="24"/>
          <w:lang w:val="en-US" w:eastAsia="zh-CN"/>
        </w:rPr>
        <w:t>中间层</w:t>
      </w:r>
      <w:r>
        <w:rPr>
          <w:rFonts w:ascii="Times New Roman" w:hAnsi="Times New Roman" w:eastAsia="宋体"/>
          <w:color w:val="000000"/>
          <w:sz w:val="24"/>
          <w:szCs w:val="24"/>
        </w:rPr>
        <w:t xml:space="preserve"> IR，后端根据 IR 生成</w:t>
      </w:r>
      <w:r>
        <w:rPr>
          <w:rFonts w:hint="eastAsia"/>
          <w:color w:val="000000"/>
          <w:sz w:val="24"/>
          <w:szCs w:val="24"/>
          <w:lang w:val="en-US" w:eastAsia="zh-CN"/>
        </w:rPr>
        <w:t>内存规划</w:t>
      </w:r>
      <w:r>
        <w:rPr>
          <w:rFonts w:ascii="Times New Roman" w:hAnsi="Times New Roman" w:eastAsia="宋体"/>
          <w:color w:val="000000"/>
          <w:sz w:val="24"/>
          <w:szCs w:val="24"/>
        </w:rPr>
        <w:t>，统一规划输入数据、参数、运行时中间张量、模型输出和指令区。随后，算子编译模块把每个</w:t>
      </w:r>
      <w:r>
        <w:rPr>
          <w:rFonts w:hint="eastAsia"/>
          <w:color w:val="000000"/>
          <w:sz w:val="24"/>
          <w:szCs w:val="24"/>
          <w:lang w:val="en-US" w:eastAsia="zh-CN"/>
        </w:rPr>
        <w:t>执行节点</w:t>
      </w:r>
      <w:r>
        <w:rPr>
          <w:rFonts w:ascii="Times New Roman" w:hAnsi="Times New Roman" w:eastAsia="宋体"/>
          <w:color w:val="000000"/>
          <w:sz w:val="24"/>
          <w:szCs w:val="24"/>
        </w:rPr>
        <w:t>转换为汇编片段，汇编器再把汇编编码为 机器码，最终转换</w:t>
      </w:r>
      <w:r>
        <w:rPr>
          <w:rFonts w:hint="eastAsia"/>
          <w:color w:val="000000"/>
          <w:sz w:val="24"/>
          <w:szCs w:val="24"/>
          <w:lang w:val="en-US" w:eastAsia="zh-CN"/>
        </w:rPr>
        <w:t>NPU可执行文件。</w:t>
      </w:r>
    </w:p>
    <w:p w14:paraId="20AF1C21">
      <w:pPr>
        <w:spacing w:before="0" w:after="120" w:line="360" w:lineRule="auto"/>
        <w:ind w:firstLine="480"/>
      </w:pPr>
      <w:r>
        <w:rPr>
          <w:rFonts w:ascii="Times New Roman" w:hAnsi="Times New Roman" w:eastAsia="宋体"/>
          <w:color w:val="000000"/>
          <w:sz w:val="24"/>
          <w:szCs w:val="24"/>
        </w:rPr>
        <w:t>因此，当前编译器定位为“面向固定指令集 NPU 的离线编译器”。它的关键</w:t>
      </w:r>
      <w:r>
        <w:rPr>
          <w:rFonts w:hint="eastAsia"/>
          <w:color w:val="000000"/>
          <w:sz w:val="24"/>
          <w:szCs w:val="24"/>
          <w:lang w:val="en-US" w:eastAsia="zh-CN"/>
        </w:rPr>
        <w:t>作用</w:t>
      </w:r>
      <w:r>
        <w:rPr>
          <w:rFonts w:ascii="Times New Roman" w:hAnsi="Times New Roman" w:eastAsia="宋体"/>
          <w:color w:val="000000"/>
          <w:sz w:val="24"/>
          <w:szCs w:val="24"/>
        </w:rPr>
        <w:t>体现在三个方面：其一，通过标准 IR 解耦模型前端与硬件后端，使模型解析、参数导出和后端规划之间形成稳定边界；其二，通过</w:t>
      </w:r>
      <w:r>
        <w:rPr>
          <w:rFonts w:hint="eastAsia"/>
          <w:color w:val="000000"/>
          <w:sz w:val="24"/>
          <w:szCs w:val="24"/>
          <w:lang w:val="en-US" w:eastAsia="zh-CN"/>
        </w:rPr>
        <w:t>内存规划</w:t>
      </w:r>
      <w:r>
        <w:rPr>
          <w:rFonts w:ascii="Times New Roman" w:hAnsi="Times New Roman" w:eastAsia="宋体"/>
          <w:color w:val="000000"/>
          <w:sz w:val="24"/>
          <w:szCs w:val="24"/>
        </w:rPr>
        <w:t>把地址空间、通道分组、尺寸传播和参数布局显式化，降低人工配置硬件寄存器的复杂度；其三，通过汇编器导出工具形成可重复构建的部署产物，便于仿真和上板实验。</w:t>
      </w:r>
    </w:p>
    <w:p w14:paraId="029F3993">
      <w:pPr>
        <w:pStyle w:val="2"/>
        <w:bidi w:val="0"/>
        <w:rPr>
          <w:rFonts w:hint="eastAsia" w:eastAsia="黑体"/>
          <w:lang w:eastAsia="zh-CN"/>
        </w:rPr>
      </w:pPr>
      <w:r>
        <w:br w:type="page"/>
      </w:r>
      <w:bookmarkStart w:id="7" w:name="_Toc99"/>
      <w:r>
        <w:t>2 当前NPU编译器的设计与编译</w:t>
      </w:r>
      <w:r>
        <w:rPr>
          <w:rFonts w:hint="eastAsia"/>
          <w:lang w:val="en-US" w:eastAsia="zh-CN"/>
        </w:rPr>
        <w:t>流程</w:t>
      </w:r>
      <w:bookmarkEnd w:id="7"/>
    </w:p>
    <w:p w14:paraId="14788B15">
      <w:pPr>
        <w:pStyle w:val="3"/>
        <w:spacing w:before="240" w:after="120" w:line="360" w:lineRule="auto"/>
      </w:pPr>
      <w:bookmarkStart w:id="8" w:name="_Toc21586"/>
      <w:r>
        <w:rPr>
          <w:rFonts w:ascii="Times New Roman" w:hAnsi="Times New Roman" w:eastAsia="黑体"/>
          <w:b/>
          <w:color w:val="000000"/>
          <w:sz w:val="28"/>
          <w:szCs w:val="28"/>
        </w:rPr>
        <w:t>2.1 NPU计算过程</w:t>
      </w:r>
      <w:bookmarkEnd w:id="8"/>
    </w:p>
    <w:p w14:paraId="5E35D5A6">
      <w:pPr>
        <w:spacing w:before="0" w:after="120" w:line="360" w:lineRule="auto"/>
        <w:ind w:firstLine="480"/>
        <w:rPr>
          <w:rFonts w:ascii="Times New Roman" w:hAnsi="Times New Roman" w:eastAsia="宋体"/>
          <w:color w:val="000000"/>
          <w:sz w:val="24"/>
          <w:szCs w:val="24"/>
        </w:rPr>
      </w:pPr>
      <w:r>
        <w:rPr>
          <w:rFonts w:ascii="Times New Roman" w:hAnsi="Times New Roman" w:eastAsia="宋体"/>
          <w:color w:val="000000"/>
          <w:sz w:val="24"/>
          <w:szCs w:val="24"/>
        </w:rPr>
        <w:t>当前 NPU 的计算过程可以理解为“数据预置、寄存器配置、算子执行、结果写回”的循环。卷积、全连接</w:t>
      </w:r>
      <w:r>
        <w:rPr>
          <w:rFonts w:hint="eastAsia"/>
          <w:color w:val="000000"/>
          <w:sz w:val="24"/>
          <w:szCs w:val="24"/>
          <w:lang w:val="en-US" w:eastAsia="zh-CN"/>
        </w:rPr>
        <w:t>等算子的</w:t>
      </w:r>
      <w:r>
        <w:rPr>
          <w:rFonts w:ascii="Times New Roman" w:hAnsi="Times New Roman" w:eastAsia="宋体"/>
          <w:color w:val="000000"/>
          <w:sz w:val="24"/>
          <w:szCs w:val="24"/>
        </w:rPr>
        <w:t>权重以及指令本身在离线阶段被整理为初始化数据</w:t>
      </w:r>
      <w:r>
        <w:rPr>
          <w:rFonts w:hint="eastAsia"/>
          <w:color w:val="000000"/>
          <w:sz w:val="24"/>
          <w:szCs w:val="24"/>
          <w:lang w:eastAsia="zh-CN"/>
        </w:rPr>
        <w:t>，</w:t>
      </w:r>
      <w:r>
        <w:rPr>
          <w:rFonts w:hint="eastAsia"/>
          <w:color w:val="000000"/>
          <w:sz w:val="24"/>
          <w:szCs w:val="24"/>
          <w:lang w:val="en-US" w:eastAsia="zh-CN"/>
        </w:rPr>
        <w:t>和指令</w:t>
      </w:r>
      <w:r>
        <w:rPr>
          <w:rFonts w:ascii="Times New Roman" w:hAnsi="Times New Roman" w:eastAsia="宋体"/>
          <w:color w:val="000000"/>
          <w:sz w:val="24"/>
          <w:szCs w:val="24"/>
        </w:rPr>
        <w:t>位于独立的运行时地址空间。</w:t>
      </w:r>
      <w:r>
        <w:rPr>
          <w:rFonts w:hint="eastAsia"/>
          <w:color w:val="000000"/>
          <w:sz w:val="24"/>
          <w:szCs w:val="24"/>
          <w:lang w:val="en-US" w:eastAsia="zh-CN"/>
        </w:rPr>
        <w:t>运行时</w:t>
      </w:r>
      <w:r>
        <w:rPr>
          <w:rFonts w:ascii="Times New Roman" w:hAnsi="Times New Roman" w:eastAsia="宋体"/>
          <w:color w:val="000000"/>
          <w:sz w:val="24"/>
          <w:szCs w:val="24"/>
        </w:rPr>
        <w:t>将编译器生成的</w:t>
      </w:r>
      <w:r>
        <w:rPr>
          <w:rFonts w:hint="eastAsia"/>
          <w:color w:val="000000"/>
          <w:sz w:val="24"/>
          <w:szCs w:val="24"/>
          <w:lang w:val="en-US" w:eastAsia="zh-CN"/>
        </w:rPr>
        <w:t>可执行文件</w:t>
      </w:r>
      <w:r>
        <w:rPr>
          <w:rFonts w:ascii="Times New Roman" w:hAnsi="Times New Roman" w:eastAsia="宋体"/>
          <w:color w:val="000000"/>
          <w:sz w:val="24"/>
          <w:szCs w:val="24"/>
        </w:rPr>
        <w:t>写入指定存储区域后，NPU 按指令流依次执行。每个计算阶段开始前，</w:t>
      </w:r>
      <w:r>
        <w:rPr>
          <w:rFonts w:hint="eastAsia"/>
          <w:color w:val="000000"/>
          <w:sz w:val="24"/>
          <w:szCs w:val="24"/>
          <w:lang w:val="en-US" w:eastAsia="zh-CN"/>
        </w:rPr>
        <w:t>NPU会执行</w:t>
      </w:r>
      <w:r>
        <w:rPr>
          <w:rFonts w:ascii="Times New Roman" w:hAnsi="Times New Roman" w:eastAsia="宋体"/>
          <w:color w:val="000000"/>
          <w:sz w:val="24"/>
          <w:szCs w:val="24"/>
        </w:rPr>
        <w:t>若干条</w:t>
      </w:r>
      <w:r>
        <w:rPr>
          <w:rFonts w:hint="eastAsia"/>
          <w:color w:val="000000"/>
          <w:sz w:val="24"/>
          <w:szCs w:val="24"/>
          <w:lang w:val="en-US" w:eastAsia="zh-CN"/>
        </w:rPr>
        <w:t>配置</w:t>
      </w:r>
      <w:r>
        <w:rPr>
          <w:rFonts w:ascii="Times New Roman" w:hAnsi="Times New Roman" w:eastAsia="宋体"/>
          <w:color w:val="000000"/>
          <w:sz w:val="24"/>
          <w:szCs w:val="24"/>
        </w:rPr>
        <w:t>指令，把输入地址、输出地址、参数地址以及算子专用字段写入通用寄存器或专用配置寄存器。随后，</w:t>
      </w:r>
      <w:r>
        <w:rPr>
          <w:rFonts w:hint="eastAsia"/>
          <w:color w:val="000000"/>
          <w:sz w:val="24"/>
          <w:szCs w:val="24"/>
          <w:lang w:val="en-US" w:eastAsia="zh-CN"/>
        </w:rPr>
        <w:t>再执行</w:t>
      </w:r>
      <w:r>
        <w:rPr>
          <w:rFonts w:ascii="Times New Roman" w:hAnsi="Times New Roman" w:eastAsia="宋体"/>
          <w:color w:val="000000"/>
          <w:sz w:val="24"/>
          <w:szCs w:val="24"/>
        </w:rPr>
        <w:t>计算指令触发硬件读取对应寄存器并完成计算。</w:t>
      </w:r>
    </w:p>
    <w:p w14:paraId="41524F8A">
      <w:pPr>
        <w:spacing w:before="0" w:after="120" w:line="360" w:lineRule="auto"/>
        <w:jc w:val="center"/>
        <w:rPr>
          <w:rFonts w:hint="eastAsia" w:ascii="Times New Roman" w:hAnsi="Times New Roman" w:eastAsia="宋体"/>
          <w:color w:val="000000"/>
          <w:sz w:val="24"/>
          <w:szCs w:val="24"/>
          <w:lang w:eastAsia="zh-CN"/>
        </w:rPr>
      </w:pPr>
      <w:r>
        <w:rPr>
          <w:rFonts w:hint="eastAsia" w:ascii="Times New Roman" w:hAnsi="Times New Roman" w:eastAsia="宋体"/>
          <w:color w:val="000000"/>
          <w:sz w:val="24"/>
          <w:szCs w:val="24"/>
          <w:lang w:eastAsia="zh-CN"/>
        </w:rPr>
        <w:drawing>
          <wp:inline distT="0" distB="0" distL="114300" distR="114300">
            <wp:extent cx="2337435" cy="5757545"/>
            <wp:effectExtent l="0" t="0" r="5715" b="14605"/>
            <wp:docPr id="5" name="图片 5" descr="NPU推理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NPU推理过程.drawio"/>
                    <pic:cNvPicPr>
                      <a:picLocks noChangeAspect="1"/>
                    </pic:cNvPicPr>
                  </pic:nvPicPr>
                  <pic:blipFill>
                    <a:blip r:embed="rId11"/>
                    <a:stretch>
                      <a:fillRect/>
                    </a:stretch>
                  </pic:blipFill>
                  <pic:spPr>
                    <a:xfrm>
                      <a:off x="0" y="0"/>
                      <a:ext cx="2337435" cy="5757545"/>
                    </a:xfrm>
                    <a:prstGeom prst="rect">
                      <a:avLst/>
                    </a:prstGeom>
                  </pic:spPr>
                </pic:pic>
              </a:graphicData>
            </a:graphic>
          </wp:inline>
        </w:drawing>
      </w:r>
    </w:p>
    <w:p w14:paraId="7FA2E248">
      <w:pPr>
        <w:spacing w:before="0" w:after="120" w:line="360" w:lineRule="auto"/>
        <w:rPr>
          <w:rFonts w:ascii="Times New Roman" w:hAnsi="Times New Roman" w:eastAsia="宋体"/>
          <w:color w:val="000000"/>
          <w:sz w:val="24"/>
          <w:szCs w:val="24"/>
        </w:rPr>
      </w:pPr>
    </w:p>
    <w:p w14:paraId="16C924A5">
      <w:pPr>
        <w:spacing w:before="0" w:after="120" w:line="360" w:lineRule="auto"/>
        <w:rPr>
          <w:rFonts w:ascii="Times New Roman" w:hAnsi="Times New Roman" w:eastAsia="宋体"/>
          <w:color w:val="000000"/>
          <w:sz w:val="24"/>
          <w:szCs w:val="24"/>
        </w:rPr>
      </w:pPr>
    </w:p>
    <w:p w14:paraId="47E7AD61">
      <w:pPr>
        <w:spacing w:before="0" w:after="120" w:line="360" w:lineRule="auto"/>
        <w:rPr>
          <w:rFonts w:ascii="Times New Roman" w:hAnsi="Times New Roman" w:eastAsia="宋体"/>
          <w:color w:val="000000"/>
          <w:sz w:val="24"/>
          <w:szCs w:val="24"/>
        </w:rPr>
      </w:pPr>
    </w:p>
    <w:p w14:paraId="16190755">
      <w:pPr>
        <w:spacing w:before="80" w:after="140" w:line="300" w:lineRule="auto"/>
        <w:jc w:val="center"/>
      </w:pPr>
      <w:r>
        <w:rPr>
          <w:rFonts w:ascii="Times New Roman" w:hAnsi="Times New Roman" w:eastAsia="宋体"/>
          <w:color w:val="000000"/>
          <w:sz w:val="21"/>
          <w:szCs w:val="21"/>
        </w:rPr>
        <w:t>图3 当前NPU推理计算过程</w:t>
      </w:r>
    </w:p>
    <w:p w14:paraId="53E75599">
      <w:pPr>
        <w:spacing w:before="0" w:after="120" w:line="360" w:lineRule="auto"/>
        <w:ind w:firstLine="480"/>
      </w:pPr>
      <w:r>
        <w:rPr>
          <w:rFonts w:ascii="Times New Roman" w:hAnsi="Times New Roman" w:eastAsia="宋体"/>
          <w:color w:val="000000"/>
          <w:sz w:val="24"/>
          <w:szCs w:val="24"/>
        </w:rPr>
        <w:t>这种计算组织方式与传统 CPU 程序不同。CPU 程序通常包含复杂控制流和通用指令，而当前 NPU 指令更接近“宏指令”或“算子指令”：一条 CONV 指令背后代表一次完整卷积 ，一条 FULL 指令代表一个全连接输出元素的计算。因此，编译器必须在指令生成前完成更多静态分析工作，包括确定每个算子的输入输出地址、通道数、矩阵边长、参数偏移</w:t>
      </w:r>
      <w:r>
        <w:rPr>
          <w:rFonts w:hint="eastAsia"/>
          <w:color w:val="000000"/>
          <w:sz w:val="24"/>
          <w:szCs w:val="24"/>
          <w:lang w:val="en-US" w:eastAsia="zh-CN"/>
        </w:rPr>
        <w:t>等</w:t>
      </w:r>
      <w:r>
        <w:rPr>
          <w:rFonts w:ascii="Times New Roman" w:hAnsi="Times New Roman" w:eastAsia="宋体"/>
          <w:color w:val="000000"/>
          <w:sz w:val="24"/>
          <w:szCs w:val="24"/>
        </w:rPr>
        <w:t>配置。只有这些信息准确无误，硬件才能在执行阶段以较低控制复杂度完成推理。</w:t>
      </w:r>
    </w:p>
    <w:p w14:paraId="6B37C14D">
      <w:pPr>
        <w:pStyle w:val="3"/>
        <w:spacing w:before="240" w:after="120" w:line="360" w:lineRule="auto"/>
      </w:pPr>
      <w:bookmarkStart w:id="9" w:name="_Toc11759"/>
      <w:r>
        <w:rPr>
          <w:rFonts w:ascii="Times New Roman" w:hAnsi="Times New Roman" w:eastAsia="黑体"/>
          <w:b/>
          <w:color w:val="000000"/>
          <w:sz w:val="28"/>
          <w:szCs w:val="28"/>
        </w:rPr>
        <w:t>2.2 编译器总体流程</w:t>
      </w:r>
      <w:bookmarkEnd w:id="9"/>
    </w:p>
    <w:p w14:paraId="71C3D15B">
      <w:pPr>
        <w:spacing w:before="0" w:after="120" w:line="360" w:lineRule="auto"/>
        <w:ind w:firstLine="480"/>
        <w:rPr>
          <w:rFonts w:hint="default" w:ascii="Times New Roman" w:hAnsi="Times New Roman" w:eastAsia="宋体"/>
          <w:color w:val="000000"/>
          <w:sz w:val="24"/>
          <w:szCs w:val="24"/>
          <w:lang w:val="en-US" w:eastAsia="zh-CN"/>
        </w:rPr>
      </w:pPr>
      <w:r>
        <w:rPr>
          <w:rFonts w:ascii="Times New Roman" w:hAnsi="Times New Roman" w:eastAsia="宋体"/>
          <w:color w:val="000000"/>
          <w:sz w:val="24"/>
          <w:szCs w:val="24"/>
        </w:rPr>
        <w:t>当前</w:t>
      </w:r>
      <w:r>
        <w:rPr>
          <w:rFonts w:hint="eastAsia"/>
          <w:color w:val="000000"/>
          <w:sz w:val="24"/>
          <w:szCs w:val="24"/>
          <w:lang w:val="en-US" w:eastAsia="zh-CN"/>
        </w:rPr>
        <w:t>编译器的构建流程如下图所示：</w:t>
      </w:r>
    </w:p>
    <w:p w14:paraId="50C11AAA">
      <w:pPr>
        <w:spacing w:before="0" w:after="120" w:line="360" w:lineRule="auto"/>
        <w:jc w:val="center"/>
        <w:rPr>
          <w:rFonts w:hint="eastAsia" w:ascii="Times New Roman" w:hAnsi="Times New Roman" w:eastAsia="宋体"/>
          <w:color w:val="000000"/>
          <w:sz w:val="24"/>
          <w:szCs w:val="24"/>
          <w:lang w:eastAsia="zh-CN"/>
        </w:rPr>
      </w:pPr>
      <w:r>
        <w:rPr>
          <w:rFonts w:hint="eastAsia" w:ascii="Times New Roman" w:hAnsi="Times New Roman" w:eastAsia="宋体"/>
          <w:color w:val="000000"/>
          <w:sz w:val="24"/>
          <w:szCs w:val="24"/>
          <w:lang w:eastAsia="zh-CN"/>
        </w:rPr>
        <w:drawing>
          <wp:inline distT="0" distB="0" distL="114300" distR="114300">
            <wp:extent cx="3679190" cy="4746625"/>
            <wp:effectExtent l="0" t="0" r="16510" b="15875"/>
            <wp:docPr id="9" name="图片 9" descr="编译器流程1.drawi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编译器流程1.drawio (4)"/>
                    <pic:cNvPicPr>
                      <a:picLocks noChangeAspect="1"/>
                    </pic:cNvPicPr>
                  </pic:nvPicPr>
                  <pic:blipFill>
                    <a:blip r:embed="rId12"/>
                    <a:stretch>
                      <a:fillRect/>
                    </a:stretch>
                  </pic:blipFill>
                  <pic:spPr>
                    <a:xfrm>
                      <a:off x="0" y="0"/>
                      <a:ext cx="3679190" cy="4746625"/>
                    </a:xfrm>
                    <a:prstGeom prst="rect">
                      <a:avLst/>
                    </a:prstGeom>
                  </pic:spPr>
                </pic:pic>
              </a:graphicData>
            </a:graphic>
          </wp:inline>
        </w:drawing>
      </w:r>
    </w:p>
    <w:p w14:paraId="0E37BCFF">
      <w:pPr>
        <w:spacing w:before="80" w:after="140" w:line="300" w:lineRule="auto"/>
        <w:jc w:val="center"/>
        <w:rPr>
          <w:rFonts w:hint="eastAsia" w:ascii="Times New Roman" w:hAnsi="Times New Roman" w:eastAsia="宋体"/>
          <w:color w:val="000000"/>
          <w:sz w:val="24"/>
          <w:szCs w:val="24"/>
          <w:lang w:eastAsia="zh-CN"/>
        </w:rPr>
      </w:pPr>
      <w:r>
        <w:rPr>
          <w:rFonts w:ascii="Times New Roman" w:hAnsi="Times New Roman" w:eastAsia="宋体"/>
          <w:color w:val="000000"/>
          <w:sz w:val="21"/>
          <w:szCs w:val="21"/>
        </w:rPr>
        <w:t>图4 当前离线NPU编译器总体流程</w:t>
      </w:r>
    </w:p>
    <w:p w14:paraId="5EE0B634">
      <w:pPr>
        <w:spacing w:before="0" w:after="120" w:line="360" w:lineRule="auto"/>
        <w:ind w:firstLine="480"/>
      </w:pPr>
      <w:r>
        <w:rPr>
          <w:rFonts w:ascii="Times New Roman" w:hAnsi="Times New Roman" w:eastAsia="宋体"/>
          <w:color w:val="000000"/>
          <w:sz w:val="24"/>
          <w:szCs w:val="24"/>
        </w:rPr>
        <w:t>这一流程与参考 GCC 编译过程在思想上有相似之处。GCC 将 C/C++ 源程序依次经过预处理、编译、汇编和链接，最终得到目标处理器可执行的机器码；当前 NPU 编译器则将高层神经网络模型依次经过前端解析、IR 生成、内存规划、汇编生成、机器码编码和镜像合并，最终得到 NPU 可加载的指令与数据。不同之处在于，</w:t>
      </w:r>
      <w:r>
        <w:rPr>
          <w:rFonts w:hint="eastAsia"/>
          <w:color w:val="000000"/>
          <w:sz w:val="24"/>
          <w:szCs w:val="24"/>
          <w:lang w:val="en-US" w:eastAsia="zh-CN"/>
        </w:rPr>
        <w:t>模型</w:t>
      </w:r>
      <w:r>
        <w:rPr>
          <w:rFonts w:ascii="Times New Roman" w:hAnsi="Times New Roman" w:eastAsia="宋体"/>
          <w:color w:val="000000"/>
          <w:sz w:val="24"/>
          <w:szCs w:val="24"/>
        </w:rPr>
        <w:t>编译不仅要生成“指令”，还要同时生成参数和张量存储布局。对于 NPU 来说，权重排列是否符合硬件读取顺序、</w:t>
      </w:r>
      <w:r>
        <w:rPr>
          <w:rFonts w:hint="eastAsia"/>
          <w:color w:val="000000"/>
          <w:sz w:val="24"/>
          <w:szCs w:val="24"/>
          <w:lang w:val="en-US" w:eastAsia="zh-CN"/>
        </w:rPr>
        <w:t>计算数据</w:t>
      </w:r>
      <w:r>
        <w:rPr>
          <w:rFonts w:ascii="Times New Roman" w:hAnsi="Times New Roman" w:eastAsia="宋体"/>
          <w:color w:val="000000"/>
          <w:sz w:val="24"/>
          <w:szCs w:val="24"/>
        </w:rPr>
        <w:t>是否满足通道对齐、输出地址是否</w:t>
      </w:r>
      <w:r>
        <w:rPr>
          <w:rFonts w:hint="eastAsia"/>
          <w:color w:val="000000"/>
          <w:sz w:val="24"/>
          <w:szCs w:val="24"/>
          <w:lang w:val="en-US" w:eastAsia="zh-CN"/>
        </w:rPr>
        <w:t>符合要求</w:t>
      </w:r>
      <w:r>
        <w:rPr>
          <w:rFonts w:ascii="Times New Roman" w:hAnsi="Times New Roman" w:eastAsia="宋体"/>
          <w:color w:val="000000"/>
          <w:sz w:val="24"/>
          <w:szCs w:val="24"/>
        </w:rPr>
        <w:t>，与指令本身同样重要。</w:t>
      </w:r>
    </w:p>
    <w:p w14:paraId="29DF8FAF">
      <w:pPr>
        <w:spacing w:before="0" w:after="120" w:line="360" w:lineRule="auto"/>
        <w:ind w:firstLine="480"/>
        <w:rPr>
          <w:rFonts w:hint="eastAsia" w:eastAsia="宋体"/>
          <w:lang w:eastAsia="zh-CN"/>
        </w:rPr>
      </w:pPr>
      <w:r>
        <w:rPr>
          <w:rFonts w:ascii="Times New Roman" w:hAnsi="Times New Roman" w:eastAsia="宋体"/>
          <w:color w:val="000000"/>
          <w:sz w:val="24"/>
          <w:szCs w:val="24"/>
        </w:rPr>
        <w:t xml:space="preserve">因此，本工程把 </w:t>
      </w:r>
      <w:r>
        <w:rPr>
          <w:rFonts w:hint="eastAsia"/>
          <w:color w:val="000000"/>
          <w:sz w:val="24"/>
          <w:szCs w:val="24"/>
          <w:lang w:val="en-US" w:eastAsia="zh-CN"/>
        </w:rPr>
        <w:t>内存规划文件</w:t>
      </w:r>
      <w:r>
        <w:rPr>
          <w:rFonts w:ascii="Times New Roman" w:hAnsi="Times New Roman" w:eastAsia="宋体"/>
          <w:color w:val="000000"/>
          <w:sz w:val="24"/>
          <w:szCs w:val="24"/>
        </w:rPr>
        <w:t>设计为后端核心数据结构。它不仅记录每个</w:t>
      </w:r>
      <w:r>
        <w:rPr>
          <w:rFonts w:hint="eastAsia"/>
          <w:color w:val="000000"/>
          <w:sz w:val="24"/>
          <w:szCs w:val="24"/>
          <w:lang w:val="en-US" w:eastAsia="zh-CN"/>
        </w:rPr>
        <w:t>计算节点</w:t>
      </w:r>
      <w:r>
        <w:rPr>
          <w:rFonts w:ascii="Times New Roman" w:hAnsi="Times New Roman" w:eastAsia="宋体"/>
          <w:color w:val="000000"/>
          <w:sz w:val="24"/>
          <w:szCs w:val="24"/>
        </w:rPr>
        <w:t>的地址、大小</w:t>
      </w:r>
      <w:r>
        <w:rPr>
          <w:rFonts w:hint="eastAsia"/>
          <w:color w:val="000000"/>
          <w:sz w:val="24"/>
          <w:szCs w:val="24"/>
          <w:lang w:val="en-US" w:eastAsia="zh-CN"/>
        </w:rPr>
        <w:t>等</w:t>
      </w:r>
      <w:r>
        <w:rPr>
          <w:rFonts w:ascii="Times New Roman" w:hAnsi="Times New Roman" w:eastAsia="宋体"/>
          <w:color w:val="000000"/>
          <w:sz w:val="24"/>
          <w:szCs w:val="24"/>
        </w:rPr>
        <w:t>，还记录</w:t>
      </w:r>
      <w:r>
        <w:rPr>
          <w:rFonts w:hint="eastAsia"/>
          <w:color w:val="000000"/>
          <w:sz w:val="24"/>
          <w:szCs w:val="24"/>
          <w:lang w:val="en-US" w:eastAsia="zh-CN"/>
        </w:rPr>
        <w:t>算子执行规划</w:t>
      </w:r>
      <w:r>
        <w:rPr>
          <w:rFonts w:ascii="Times New Roman" w:hAnsi="Times New Roman" w:eastAsia="宋体"/>
          <w:color w:val="000000"/>
          <w:sz w:val="24"/>
          <w:szCs w:val="24"/>
        </w:rPr>
        <w:t>中各层的参数偏移、输出偏移、指令数量估计和模型输出区域。后续参数生成、指令生成、</w:t>
      </w:r>
      <w:r>
        <w:rPr>
          <w:rFonts w:hint="eastAsia"/>
          <w:color w:val="000000"/>
          <w:sz w:val="24"/>
          <w:szCs w:val="24"/>
          <w:lang w:val="en-US" w:eastAsia="zh-CN"/>
        </w:rPr>
        <w:t>二进制文件</w:t>
      </w:r>
      <w:r>
        <w:rPr>
          <w:rFonts w:ascii="Times New Roman" w:hAnsi="Times New Roman" w:eastAsia="宋体"/>
          <w:color w:val="000000"/>
          <w:sz w:val="24"/>
          <w:szCs w:val="24"/>
        </w:rPr>
        <w:t>导出和回归测试均围绕</w:t>
      </w:r>
      <w:r>
        <w:rPr>
          <w:rFonts w:hint="eastAsia"/>
          <w:color w:val="000000"/>
          <w:sz w:val="24"/>
          <w:szCs w:val="24"/>
          <w:lang w:val="en-US" w:eastAsia="zh-CN"/>
        </w:rPr>
        <w:t>内存规划文件</w:t>
      </w:r>
      <w:r>
        <w:rPr>
          <w:rFonts w:ascii="Times New Roman" w:hAnsi="Times New Roman" w:eastAsia="宋体"/>
          <w:color w:val="000000"/>
          <w:sz w:val="24"/>
          <w:szCs w:val="24"/>
        </w:rPr>
        <w:t>展开。这种设计使编译器各阶段之间形成清晰接口，也便于在调试时定位问题</w:t>
      </w:r>
      <w:r>
        <w:rPr>
          <w:rFonts w:hint="eastAsia"/>
          <w:color w:val="000000"/>
          <w:sz w:val="24"/>
          <w:szCs w:val="24"/>
          <w:lang w:eastAsia="zh-CN"/>
        </w:rPr>
        <w:t>。</w:t>
      </w:r>
    </w:p>
    <w:p w14:paraId="279B79D6">
      <w:pPr>
        <w:pStyle w:val="4"/>
        <w:bidi w:val="0"/>
      </w:pPr>
      <w:bookmarkStart w:id="10" w:name="_Toc6604"/>
      <w:r>
        <w:t>2.</w:t>
      </w:r>
      <w:r>
        <w:rPr>
          <w:rFonts w:hint="eastAsia"/>
          <w:lang w:val="en-US" w:eastAsia="zh-CN"/>
        </w:rPr>
        <w:t>2.1</w:t>
      </w:r>
      <w:r>
        <w:t xml:space="preserve"> </w:t>
      </w:r>
      <w:r>
        <w:rPr>
          <w:rFonts w:hint="eastAsia"/>
          <w:lang w:val="en-US" w:eastAsia="zh-CN"/>
        </w:rPr>
        <w:t>模型读取与参数整理</w:t>
      </w:r>
      <w:bookmarkEnd w:id="10"/>
    </w:p>
    <w:p w14:paraId="15A0A00D">
      <w:pPr>
        <w:numPr>
          <w:ilvl w:val="0"/>
          <w:numId w:val="0"/>
        </w:numPr>
        <w:spacing w:after="120" w:line="280" w:lineRule="auto"/>
        <w:ind w:firstLine="420" w:firstLineChars="0"/>
        <w:jc w:val="both"/>
        <w:rPr>
          <w:rFonts w:hint="eastAsia" w:eastAsia="宋体"/>
          <w:color w:val="000000"/>
          <w:sz w:val="24"/>
          <w:szCs w:val="24"/>
          <w:lang w:val="en-US" w:eastAsia="zh-CN"/>
        </w:rPr>
      </w:pPr>
      <w:r>
        <w:rPr>
          <w:rFonts w:hint="eastAsia"/>
          <w:color w:val="000000"/>
          <w:sz w:val="24"/>
          <w:szCs w:val="24"/>
          <w:lang w:val="en-US" w:eastAsia="zh-CN"/>
        </w:rPr>
        <w:t>这一步对应标准AI编译器流程的</w:t>
      </w:r>
      <w:r>
        <w:rPr>
          <w:rFonts w:ascii="Times New Roman" w:hAnsi="Times New Roman" w:eastAsia="宋体"/>
          <w:color w:val="000000"/>
          <w:sz w:val="24"/>
          <w:szCs w:val="24"/>
        </w:rPr>
        <w:t>前端阶段</w:t>
      </w:r>
      <w:r>
        <w:rPr>
          <w:rFonts w:hint="eastAsia"/>
          <w:color w:val="000000"/>
          <w:sz w:val="24"/>
          <w:szCs w:val="24"/>
          <w:lang w:eastAsia="zh-CN"/>
        </w:rPr>
        <w:t>。</w:t>
      </w:r>
      <w:r>
        <w:rPr>
          <w:rFonts w:hint="eastAsia" w:ascii="宋体" w:hAnsi="宋体" w:eastAsia="宋体" w:cs="宋体"/>
          <w:lang w:val="en-US" w:eastAsia="zh-CN"/>
        </w:rPr>
        <w:t>为了能够支持任意模型的输入，不用模型提取出的原生格式的参数和结构，而要将其整理为一个统一的格式，在后续处理时才能统一</w:t>
      </w:r>
      <w:r>
        <w:rPr>
          <w:rFonts w:hint="eastAsia" w:ascii="宋体" w:hAnsi="宋体" w:cs="宋体"/>
          <w:lang w:val="en-US" w:eastAsia="zh-CN"/>
        </w:rPr>
        <w:t>，这个统一的格式也就是对应了标准AI编译器流程中的IR文件</w:t>
      </w:r>
      <w:r>
        <w:rPr>
          <w:rFonts w:hint="eastAsia" w:ascii="宋体" w:hAnsi="宋体" w:eastAsia="宋体" w:cs="宋体"/>
          <w:lang w:val="en-US" w:eastAsia="zh-CN"/>
        </w:rPr>
        <w:t>。因此后续若需要支持更多类型的模型，只用在模型解析层打补丁即可。</w:t>
      </w:r>
    </w:p>
    <w:p w14:paraId="2EEDA625">
      <w:pPr>
        <w:spacing w:before="0" w:after="120" w:line="360" w:lineRule="auto"/>
        <w:jc w:val="center"/>
        <w:rPr>
          <w:rFonts w:hint="eastAsia" w:ascii="宋体" w:hAnsi="宋体" w:eastAsia="宋体" w:cs="宋体"/>
          <w:lang w:val="en-US" w:eastAsia="zh-CN"/>
        </w:rPr>
      </w:pPr>
      <w:r>
        <w:rPr>
          <w:rFonts w:hint="eastAsia" w:ascii="宋体" w:hAnsi="宋体" w:eastAsia="宋体" w:cs="宋体"/>
          <w:lang w:val="en-US" w:eastAsia="zh-CN"/>
        </w:rPr>
        <w:drawing>
          <wp:inline distT="0" distB="0" distL="114300" distR="114300">
            <wp:extent cx="4312285" cy="2528570"/>
            <wp:effectExtent l="0" t="0" r="12065" b="5080"/>
            <wp:docPr id="6" name="图片 6" descr="模型解析.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模型解析.drawio (1)"/>
                    <pic:cNvPicPr>
                      <a:picLocks noChangeAspect="1"/>
                    </pic:cNvPicPr>
                  </pic:nvPicPr>
                  <pic:blipFill>
                    <a:blip r:embed="rId13"/>
                    <a:stretch>
                      <a:fillRect/>
                    </a:stretch>
                  </pic:blipFill>
                  <pic:spPr>
                    <a:xfrm>
                      <a:off x="0" y="0"/>
                      <a:ext cx="4312285" cy="2528570"/>
                    </a:xfrm>
                    <a:prstGeom prst="rect">
                      <a:avLst/>
                    </a:prstGeom>
                  </pic:spPr>
                </pic:pic>
              </a:graphicData>
            </a:graphic>
          </wp:inline>
        </w:drawing>
      </w:r>
    </w:p>
    <w:p w14:paraId="51A1B8B4">
      <w:pPr>
        <w:spacing w:before="80" w:after="140" w:line="300" w:lineRule="auto"/>
        <w:jc w:val="center"/>
        <w:rPr>
          <w:rFonts w:hint="default" w:ascii="宋体" w:hAnsi="宋体" w:eastAsia="宋体" w:cs="宋体"/>
          <w:lang w:val="en-US" w:eastAsia="zh-CN"/>
        </w:rPr>
      </w:pPr>
      <w:r>
        <w:rPr>
          <w:rFonts w:ascii="Times New Roman" w:hAnsi="Times New Roman" w:eastAsia="宋体"/>
          <w:color w:val="000000"/>
          <w:sz w:val="21"/>
          <w:szCs w:val="21"/>
        </w:rPr>
        <w:t>图</w:t>
      </w:r>
      <w:r>
        <w:rPr>
          <w:rFonts w:hint="eastAsia"/>
          <w:color w:val="000000"/>
          <w:sz w:val="21"/>
          <w:szCs w:val="21"/>
          <w:lang w:val="en-US" w:eastAsia="zh-CN"/>
        </w:rPr>
        <w:t>5</w:t>
      </w:r>
      <w:r>
        <w:rPr>
          <w:rFonts w:ascii="Times New Roman" w:hAnsi="Times New Roman" w:eastAsia="宋体"/>
          <w:color w:val="000000"/>
          <w:sz w:val="21"/>
          <w:szCs w:val="21"/>
        </w:rPr>
        <w:t xml:space="preserve"> </w:t>
      </w:r>
      <w:r>
        <w:rPr>
          <w:rFonts w:hint="eastAsia"/>
          <w:color w:val="000000"/>
          <w:sz w:val="21"/>
          <w:szCs w:val="21"/>
          <w:lang w:val="en-US" w:eastAsia="zh-CN"/>
        </w:rPr>
        <w:t>模型解析及参数整理</w:t>
      </w:r>
    </w:p>
    <w:p w14:paraId="65FAAE10">
      <w:pPr>
        <w:spacing w:before="0" w:after="120" w:line="360" w:lineRule="auto"/>
        <w:ind w:firstLine="480"/>
        <w:rPr>
          <w:rFonts w:hint="eastAsia"/>
          <w:color w:val="000000"/>
          <w:sz w:val="24"/>
          <w:szCs w:val="24"/>
          <w:lang w:val="en-US" w:eastAsia="zh-CN"/>
        </w:rPr>
      </w:pPr>
      <w:r>
        <w:rPr>
          <w:rFonts w:hint="eastAsia"/>
          <w:color w:val="000000"/>
          <w:sz w:val="24"/>
          <w:szCs w:val="24"/>
          <w:lang w:val="en-US" w:eastAsia="zh-CN"/>
        </w:rPr>
        <w:t>以一个仅包含卷积和relu的简单模型为例，编译器解析得到的IR文件如下图所示：</w:t>
      </w:r>
    </w:p>
    <w:p w14:paraId="26CA83BA">
      <w:pPr>
        <w:spacing w:before="0" w:after="120" w:line="360" w:lineRule="auto"/>
        <w:jc w:val="center"/>
      </w:pPr>
      <w:r>
        <w:drawing>
          <wp:inline distT="0" distB="0" distL="114300" distR="114300">
            <wp:extent cx="5272405" cy="4705350"/>
            <wp:effectExtent l="0" t="0" r="4445" b="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4"/>
                    <a:stretch>
                      <a:fillRect/>
                    </a:stretch>
                  </pic:blipFill>
                  <pic:spPr>
                    <a:xfrm>
                      <a:off x="0" y="0"/>
                      <a:ext cx="5272405" cy="4705350"/>
                    </a:xfrm>
                    <a:prstGeom prst="rect">
                      <a:avLst/>
                    </a:prstGeom>
                    <a:noFill/>
                    <a:ln>
                      <a:noFill/>
                    </a:ln>
                  </pic:spPr>
                </pic:pic>
              </a:graphicData>
            </a:graphic>
          </wp:inline>
        </w:drawing>
      </w:r>
    </w:p>
    <w:p w14:paraId="64EA59EF">
      <w:pPr>
        <w:spacing w:before="80" w:after="140" w:line="300" w:lineRule="auto"/>
        <w:jc w:val="center"/>
        <w:rPr>
          <w:rFonts w:hint="default"/>
          <w:lang w:val="en-US" w:eastAsia="zh-CN"/>
        </w:rPr>
      </w:pPr>
      <w:r>
        <w:rPr>
          <w:rFonts w:ascii="Times New Roman" w:hAnsi="Times New Roman" w:eastAsia="宋体"/>
          <w:color w:val="000000"/>
          <w:sz w:val="21"/>
          <w:szCs w:val="21"/>
        </w:rPr>
        <w:t>图</w:t>
      </w:r>
      <w:r>
        <w:rPr>
          <w:rFonts w:hint="eastAsia"/>
          <w:color w:val="000000"/>
          <w:sz w:val="21"/>
          <w:szCs w:val="21"/>
          <w:lang w:val="en-US" w:eastAsia="zh-CN"/>
        </w:rPr>
        <w:t>5</w:t>
      </w:r>
      <w:r>
        <w:rPr>
          <w:rFonts w:ascii="Times New Roman" w:hAnsi="Times New Roman" w:eastAsia="宋体"/>
          <w:color w:val="000000"/>
          <w:sz w:val="21"/>
          <w:szCs w:val="21"/>
        </w:rPr>
        <w:t xml:space="preserve"> </w:t>
      </w:r>
      <w:r>
        <w:rPr>
          <w:rFonts w:hint="eastAsia"/>
          <w:color w:val="000000"/>
          <w:sz w:val="21"/>
          <w:szCs w:val="21"/>
          <w:lang w:val="en-US" w:eastAsia="zh-CN"/>
        </w:rPr>
        <w:t>模型结构（IR文件）展示</w:t>
      </w:r>
    </w:p>
    <w:p w14:paraId="13AE22E6">
      <w:pPr>
        <w:numPr>
          <w:ilvl w:val="0"/>
          <w:numId w:val="0"/>
        </w:numPr>
        <w:spacing w:after="120" w:line="280" w:lineRule="auto"/>
        <w:ind w:firstLine="420" w:firstLineChars="0"/>
        <w:jc w:val="both"/>
        <w:rPr>
          <w:rFonts w:hint="eastAsia" w:ascii="宋体" w:hAnsi="宋体" w:eastAsia="宋体" w:cs="宋体"/>
          <w:lang w:val="en-US" w:eastAsia="zh-CN"/>
        </w:rPr>
      </w:pPr>
      <w:r>
        <w:rPr>
          <w:rFonts w:hint="eastAsia" w:ascii="宋体" w:hAnsi="宋体" w:eastAsia="宋体" w:cs="宋体"/>
          <w:lang w:val="en-US" w:eastAsia="zh-CN"/>
        </w:rPr>
        <w:t>模型结构里会存储模型每一步需要进行的运算类型，以及进行该次运算时的相关配置，后续在生成具体的NPU指令时可以参照该文件进行生成。</w:t>
      </w:r>
    </w:p>
    <w:p w14:paraId="5FC6CB6F">
      <w:pPr>
        <w:spacing w:before="0" w:after="120" w:line="360" w:lineRule="auto"/>
        <w:ind w:firstLine="500" w:firstLineChars="0"/>
        <w:rPr>
          <w:rFonts w:hint="default"/>
          <w:color w:val="000000"/>
          <w:sz w:val="24"/>
          <w:szCs w:val="24"/>
          <w:lang w:val="en-US" w:eastAsia="zh-CN"/>
        </w:rPr>
      </w:pPr>
      <w:r>
        <w:rPr>
          <w:rFonts w:hint="eastAsia"/>
          <w:color w:val="000000"/>
          <w:sz w:val="24"/>
          <w:szCs w:val="24"/>
          <w:lang w:val="en-US" w:eastAsia="zh-CN"/>
        </w:rPr>
        <w:t>这一步除了得到模型结构外，还需将模型参数整理为NPU侧需要的格式，下以卷积为例进行说明。下图为NPU进行4通道卷积的计算过程，根据NPU的硬件要求，在得到卷积核的权重后，需将权重矩阵整理为通道后置的像素交织排列格式，NPU才能正常读取并进行计算，对于其他计算的参数也需进行相同的整理。</w:t>
      </w:r>
    </w:p>
    <w:p w14:paraId="29B1A74B">
      <w:pPr>
        <w:spacing w:before="0" w:after="120" w:line="360" w:lineRule="auto"/>
        <w:ind w:firstLine="500" w:firstLineChars="0"/>
        <w:rPr>
          <w:rFonts w:hint="default"/>
          <w:color w:val="000000"/>
          <w:sz w:val="24"/>
          <w:szCs w:val="24"/>
          <w:lang w:val="en-US" w:eastAsia="zh-CN"/>
        </w:rPr>
      </w:pPr>
    </w:p>
    <w:p w14:paraId="77453F82">
      <w:pPr>
        <w:spacing w:before="80" w:after="140" w:line="300" w:lineRule="auto"/>
        <w:jc w:val="center"/>
        <w:rPr>
          <w:rFonts w:hint="default"/>
          <w:lang w:val="en-US" w:eastAsia="zh-CN"/>
        </w:rPr>
      </w:pPr>
      <w:r>
        <w:object>
          <v:shape id="_x0000_i1025" o:spt="75" type="#_x0000_t75" style="height:322.25pt;width:453.55pt;" o:ole="t" filled="f" o:preferrelative="t" stroked="f" coordsize="21600,21600">
            <v:path/>
            <v:fill on="f" focussize="0,0"/>
            <v:stroke on="f"/>
            <v:imagedata r:id="rId16" o:title=""/>
            <o:lock v:ext="edit" aspectratio="t"/>
            <w10:wrap type="none"/>
            <w10:anchorlock/>
          </v:shape>
          <o:OLEObject Type="Embed" ProgID="Visio.Drawing.15" ShapeID="_x0000_i1025" DrawAspect="Content" ObjectID="_1468075725" r:id="rId15">
            <o:LockedField>false</o:LockedField>
          </o:OLEObject>
        </w:object>
      </w:r>
      <w:r>
        <w:rPr>
          <w:rFonts w:ascii="Times New Roman" w:hAnsi="Times New Roman" w:eastAsia="宋体"/>
          <w:color w:val="000000"/>
          <w:sz w:val="21"/>
          <w:szCs w:val="21"/>
        </w:rPr>
        <w:t>图</w:t>
      </w:r>
      <w:r>
        <w:rPr>
          <w:rFonts w:hint="eastAsia"/>
          <w:color w:val="000000"/>
          <w:sz w:val="21"/>
          <w:szCs w:val="21"/>
          <w:lang w:val="en-US" w:eastAsia="zh-CN"/>
        </w:rPr>
        <w:t>6</w:t>
      </w:r>
      <w:r>
        <w:rPr>
          <w:rFonts w:ascii="Times New Roman" w:hAnsi="Times New Roman" w:eastAsia="宋体"/>
          <w:color w:val="000000"/>
          <w:sz w:val="21"/>
          <w:szCs w:val="21"/>
        </w:rPr>
        <w:t xml:space="preserve"> </w:t>
      </w:r>
      <w:r>
        <w:rPr>
          <w:rFonts w:hint="eastAsia"/>
          <w:color w:val="000000"/>
          <w:sz w:val="21"/>
          <w:szCs w:val="21"/>
          <w:lang w:val="en-US" w:eastAsia="zh-CN"/>
        </w:rPr>
        <w:t>NPU卷积计算过程</w:t>
      </w:r>
    </w:p>
    <w:p w14:paraId="0D5FD4B8">
      <w:pPr>
        <w:pStyle w:val="4"/>
        <w:bidi w:val="0"/>
        <w:rPr>
          <w:rFonts w:hint="eastAsia"/>
          <w:lang w:val="en-US" w:eastAsia="zh-CN"/>
        </w:rPr>
      </w:pPr>
      <w:bookmarkStart w:id="11" w:name="_Toc16713"/>
      <w:r>
        <w:t>2.</w:t>
      </w:r>
      <w:r>
        <w:rPr>
          <w:rFonts w:hint="eastAsia"/>
          <w:lang w:val="en-US" w:eastAsia="zh-CN"/>
        </w:rPr>
        <w:t>2.2</w:t>
      </w:r>
      <w:r>
        <w:t xml:space="preserve"> </w:t>
      </w:r>
      <w:r>
        <w:rPr>
          <w:rFonts w:hint="eastAsia"/>
          <w:lang w:val="en-US" w:eastAsia="zh-CN"/>
        </w:rPr>
        <w:t>内存规划</w:t>
      </w:r>
      <w:bookmarkEnd w:id="11"/>
    </w:p>
    <w:p w14:paraId="0834DBD1">
      <w:pPr>
        <w:numPr>
          <w:ilvl w:val="0"/>
          <w:numId w:val="0"/>
        </w:numPr>
        <w:spacing w:after="120" w:line="280" w:lineRule="auto"/>
        <w:ind w:firstLine="420" w:firstLineChars="0"/>
        <w:rPr>
          <w:rFonts w:hint="eastAsia" w:ascii="宋体" w:hAnsi="宋体" w:cs="宋体"/>
          <w:lang w:val="en-US" w:eastAsia="zh-CN"/>
        </w:rPr>
      </w:pPr>
      <w:r>
        <w:rPr>
          <w:rFonts w:hint="eastAsia"/>
          <w:color w:val="000000"/>
          <w:sz w:val="24"/>
          <w:szCs w:val="24"/>
          <w:lang w:val="en-US" w:eastAsia="zh-CN"/>
        </w:rPr>
        <w:t>内存规划</w:t>
      </w:r>
      <w:r>
        <w:rPr>
          <w:rFonts w:ascii="Times New Roman" w:hAnsi="Times New Roman" w:eastAsia="宋体"/>
          <w:color w:val="000000"/>
          <w:sz w:val="24"/>
          <w:szCs w:val="24"/>
        </w:rPr>
        <w:t>是当前编译器中承上启下的关键环节。该阶段只读取标准 IR，而不再读取原始模型定义文件，从而保证后端与具体深度学习框架解耦</w:t>
      </w:r>
      <w:r>
        <w:rPr>
          <w:rFonts w:hint="eastAsia" w:ascii="宋体" w:hAnsi="宋体" w:eastAsia="宋体" w:cs="宋体"/>
          <w:lang w:val="en-US" w:eastAsia="zh-CN"/>
        </w:rPr>
        <w:t>。</w:t>
      </w:r>
      <w:r>
        <w:rPr>
          <w:rFonts w:hint="eastAsia" w:ascii="宋体" w:hAnsi="宋体" w:cs="宋体"/>
          <w:lang w:val="en-US" w:eastAsia="zh-CN"/>
        </w:rPr>
        <w:t>以只进行conv、relu的简单模型为例说明内存规划器的执行流程。</w:t>
      </w:r>
      <w:r>
        <w:rPr>
          <w:rFonts w:hint="eastAsia" w:ascii="宋体" w:hAnsi="宋体" w:eastAsia="宋体" w:cs="宋体"/>
          <w:lang w:val="en-US" w:eastAsia="zh-CN"/>
        </w:rPr>
        <w:t>当NPU接连进行conv、relu两次运算时，</w:t>
      </w:r>
      <w:r>
        <w:rPr>
          <w:rFonts w:hint="eastAsia" w:ascii="宋体" w:hAnsi="宋体" w:cs="宋体"/>
          <w:lang w:val="en-US" w:eastAsia="zh-CN"/>
        </w:rPr>
        <w:t>内存规划器得到的内存规划文件如下图所示：</w:t>
      </w:r>
    </w:p>
    <w:p w14:paraId="472A81A4">
      <w:pPr>
        <w:numPr>
          <w:ilvl w:val="0"/>
          <w:numId w:val="0"/>
        </w:numPr>
        <w:spacing w:after="120" w:line="280" w:lineRule="auto"/>
        <w:jc w:val="center"/>
      </w:pPr>
      <w:r>
        <w:drawing>
          <wp:inline distT="0" distB="0" distL="114300" distR="114300">
            <wp:extent cx="3133725" cy="1971675"/>
            <wp:effectExtent l="0" t="0" r="9525" b="9525"/>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17"/>
                    <a:stretch>
                      <a:fillRect/>
                    </a:stretch>
                  </pic:blipFill>
                  <pic:spPr>
                    <a:xfrm>
                      <a:off x="0" y="0"/>
                      <a:ext cx="3133725" cy="1971675"/>
                    </a:xfrm>
                    <a:prstGeom prst="rect">
                      <a:avLst/>
                    </a:prstGeom>
                    <a:noFill/>
                    <a:ln>
                      <a:noFill/>
                    </a:ln>
                  </pic:spPr>
                </pic:pic>
              </a:graphicData>
            </a:graphic>
          </wp:inline>
        </w:drawing>
      </w:r>
    </w:p>
    <w:p w14:paraId="60F92CE1">
      <w:pPr>
        <w:numPr>
          <w:ilvl w:val="0"/>
          <w:numId w:val="0"/>
        </w:numPr>
        <w:spacing w:after="120" w:line="280" w:lineRule="auto"/>
        <w:jc w:val="center"/>
        <w:rPr>
          <w:rFonts w:hint="default"/>
          <w:lang w:val="en-US" w:eastAsia="zh-CN"/>
        </w:rPr>
      </w:pPr>
      <w:r>
        <w:rPr>
          <w:rFonts w:ascii="Times New Roman" w:hAnsi="Times New Roman" w:eastAsia="宋体"/>
          <w:color w:val="000000"/>
          <w:sz w:val="21"/>
          <w:szCs w:val="21"/>
        </w:rPr>
        <w:t>图</w:t>
      </w:r>
      <w:r>
        <w:rPr>
          <w:rFonts w:hint="eastAsia"/>
          <w:color w:val="000000"/>
          <w:sz w:val="21"/>
          <w:szCs w:val="21"/>
          <w:lang w:val="en-US" w:eastAsia="zh-CN"/>
        </w:rPr>
        <w:t>7</w:t>
      </w:r>
      <w:r>
        <w:rPr>
          <w:rFonts w:ascii="Times New Roman" w:hAnsi="Times New Roman" w:eastAsia="宋体"/>
          <w:color w:val="000000"/>
          <w:sz w:val="21"/>
          <w:szCs w:val="21"/>
        </w:rPr>
        <w:t xml:space="preserve"> </w:t>
      </w:r>
      <w:r>
        <w:rPr>
          <w:rFonts w:hint="eastAsia"/>
          <w:color w:val="000000"/>
          <w:sz w:val="21"/>
          <w:szCs w:val="21"/>
          <w:lang w:val="en-US" w:eastAsia="zh-CN"/>
        </w:rPr>
        <w:t>内存规划文件</w:t>
      </w:r>
    </w:p>
    <w:p w14:paraId="334CF61C">
      <w:pPr>
        <w:spacing w:before="0" w:after="120" w:line="360" w:lineRule="auto"/>
        <w:rPr>
          <w:rFonts w:hint="default"/>
          <w:color w:val="000000"/>
          <w:sz w:val="24"/>
          <w:szCs w:val="24"/>
          <w:lang w:val="en-US" w:eastAsia="zh-CN"/>
        </w:rPr>
      </w:pPr>
    </w:p>
    <w:p w14:paraId="1E09EAED">
      <w:pPr>
        <w:spacing w:before="0" w:after="120" w:line="360" w:lineRule="auto"/>
        <w:ind w:firstLine="480"/>
      </w:pPr>
      <w:r>
        <w:rPr>
          <w:rFonts w:hint="eastAsia"/>
          <w:color w:val="000000"/>
          <w:sz w:val="24"/>
          <w:szCs w:val="24"/>
          <w:lang w:val="en-US" w:eastAsia="zh-CN"/>
        </w:rPr>
        <w:t>在</w:t>
      </w:r>
      <w:r>
        <w:rPr>
          <w:rFonts w:ascii="Times New Roman" w:hAnsi="Times New Roman" w:eastAsia="宋体"/>
          <w:color w:val="000000"/>
          <w:sz w:val="24"/>
          <w:szCs w:val="24"/>
        </w:rPr>
        <w:t>地址空间方面，</w:t>
      </w:r>
      <w:r>
        <w:rPr>
          <w:rFonts w:hint="eastAsia"/>
          <w:color w:val="000000"/>
          <w:sz w:val="24"/>
          <w:szCs w:val="24"/>
          <w:lang w:val="en-US" w:eastAsia="zh-CN"/>
        </w:rPr>
        <w:t>目前编译器的</w:t>
      </w:r>
      <w:r>
        <w:rPr>
          <w:rFonts w:ascii="Times New Roman" w:hAnsi="Times New Roman" w:eastAsia="宋体"/>
          <w:color w:val="000000"/>
          <w:sz w:val="24"/>
          <w:szCs w:val="24"/>
        </w:rPr>
        <w:t>配置文件默认将初始化区置于 0x00000000 至 0x00200000，运行时区从 0x00200000 起始。规划完成后，脚本会检查初始化区、运行时区和可选输出区是否越界或重叠，并把最终规划写入memory_plan.json。</w:t>
      </w:r>
    </w:p>
    <w:p w14:paraId="4F7DB048">
      <w:pPr>
        <w:pStyle w:val="4"/>
        <w:bidi w:val="0"/>
      </w:pPr>
      <w:bookmarkStart w:id="12" w:name="_Toc18948"/>
      <w:r>
        <w:t>2.</w:t>
      </w:r>
      <w:r>
        <w:rPr>
          <w:rFonts w:hint="eastAsia"/>
          <w:lang w:val="en-US" w:eastAsia="zh-CN"/>
        </w:rPr>
        <w:t>2.3</w:t>
      </w:r>
      <w:r>
        <w:t xml:space="preserve"> 算子汇编、机器码生成与</w:t>
      </w:r>
      <w:r>
        <w:rPr>
          <w:rFonts w:hint="eastAsia"/>
          <w:lang w:val="en-US" w:eastAsia="zh-CN"/>
        </w:rPr>
        <w:t>可执行文件</w:t>
      </w:r>
      <w:r>
        <w:t>导出</w:t>
      </w:r>
      <w:bookmarkEnd w:id="12"/>
    </w:p>
    <w:p w14:paraId="2EFDAF69">
      <w:pPr>
        <w:spacing w:before="0" w:after="120" w:line="360" w:lineRule="auto"/>
        <w:ind w:firstLine="480"/>
        <w:rPr>
          <w:rFonts w:hint="default" w:ascii="Times New Roman" w:hAnsi="Times New Roman" w:eastAsia="宋体"/>
          <w:color w:val="000000"/>
          <w:sz w:val="24"/>
          <w:szCs w:val="24"/>
          <w:lang w:val="en-US" w:eastAsia="zh-CN"/>
        </w:rPr>
      </w:pPr>
      <w:r>
        <w:rPr>
          <w:rFonts w:ascii="Times New Roman" w:hAnsi="Times New Roman" w:eastAsia="宋体"/>
          <w:color w:val="000000"/>
          <w:sz w:val="24"/>
          <w:szCs w:val="24"/>
        </w:rPr>
        <w:t>指令生成阶段由</w:t>
      </w:r>
      <w:r>
        <w:rPr>
          <w:rFonts w:hint="eastAsia"/>
          <w:color w:val="000000"/>
          <w:sz w:val="24"/>
          <w:szCs w:val="24"/>
          <w:lang w:val="en-US" w:eastAsia="zh-CN"/>
        </w:rPr>
        <w:t>算子层和汇编器</w:t>
      </w:r>
      <w:r>
        <w:rPr>
          <w:rFonts w:ascii="Times New Roman" w:hAnsi="Times New Roman" w:eastAsia="宋体"/>
          <w:color w:val="000000"/>
          <w:sz w:val="24"/>
          <w:szCs w:val="24"/>
        </w:rPr>
        <w:t>负责。</w:t>
      </w:r>
      <w:r>
        <w:rPr>
          <w:rFonts w:hint="eastAsia"/>
          <w:color w:val="000000"/>
          <w:sz w:val="24"/>
          <w:szCs w:val="24"/>
          <w:lang w:val="en-US" w:eastAsia="zh-CN"/>
        </w:rPr>
        <w:t>算子层会</w:t>
      </w:r>
      <w:r>
        <w:rPr>
          <w:rFonts w:ascii="Times New Roman" w:hAnsi="Times New Roman" w:eastAsia="宋体"/>
          <w:color w:val="000000"/>
          <w:sz w:val="24"/>
          <w:szCs w:val="24"/>
        </w:rPr>
        <w:t>读取</w:t>
      </w:r>
      <w:r>
        <w:rPr>
          <w:rFonts w:hint="eastAsia"/>
          <w:color w:val="000000"/>
          <w:sz w:val="24"/>
          <w:szCs w:val="24"/>
          <w:lang w:val="en-US" w:eastAsia="zh-CN"/>
        </w:rPr>
        <w:t>内存规划文件，</w:t>
      </w:r>
      <w:r>
        <w:rPr>
          <w:rFonts w:ascii="Times New Roman" w:hAnsi="Times New Roman" w:eastAsia="宋体"/>
          <w:color w:val="000000"/>
          <w:sz w:val="24"/>
          <w:szCs w:val="24"/>
        </w:rPr>
        <w:t xml:space="preserve">并为每个 </w:t>
      </w:r>
      <w:r>
        <w:rPr>
          <w:rFonts w:hint="eastAsia"/>
          <w:color w:val="000000"/>
          <w:sz w:val="24"/>
          <w:szCs w:val="24"/>
          <w:lang w:val="en-US" w:eastAsia="zh-CN"/>
        </w:rPr>
        <w:t>计算节点</w:t>
      </w:r>
      <w:r>
        <w:rPr>
          <w:rFonts w:ascii="Times New Roman" w:hAnsi="Times New Roman" w:eastAsia="宋体"/>
          <w:color w:val="000000"/>
          <w:sz w:val="24"/>
          <w:szCs w:val="24"/>
        </w:rPr>
        <w:t>调用对应的</w:t>
      </w:r>
      <w:r>
        <w:rPr>
          <w:rFonts w:hint="eastAsia"/>
          <w:color w:val="000000"/>
          <w:sz w:val="24"/>
          <w:szCs w:val="24"/>
          <w:lang w:val="en-US" w:eastAsia="zh-CN"/>
        </w:rPr>
        <w:t>算子</w:t>
      </w:r>
      <w:r>
        <w:rPr>
          <w:rFonts w:ascii="Times New Roman" w:hAnsi="Times New Roman" w:eastAsia="宋体"/>
          <w:color w:val="000000"/>
          <w:sz w:val="24"/>
          <w:szCs w:val="24"/>
        </w:rPr>
        <w:t>编译模块。当前</w:t>
      </w:r>
      <w:r>
        <w:rPr>
          <w:rFonts w:hint="eastAsia"/>
          <w:color w:val="000000"/>
          <w:sz w:val="24"/>
          <w:szCs w:val="24"/>
          <w:lang w:val="en-US" w:eastAsia="zh-CN"/>
        </w:rPr>
        <w:t>算子层</w:t>
      </w:r>
      <w:r>
        <w:rPr>
          <w:rFonts w:ascii="Times New Roman" w:hAnsi="Times New Roman" w:eastAsia="宋体"/>
          <w:color w:val="000000"/>
          <w:sz w:val="24"/>
          <w:szCs w:val="24"/>
        </w:rPr>
        <w:t>中包含 conv、relu、dsmp、avgpool、maxpool、full</w:t>
      </w:r>
      <w:r>
        <w:rPr>
          <w:rFonts w:hint="eastAsia"/>
          <w:color w:val="000000"/>
          <w:sz w:val="24"/>
          <w:szCs w:val="24"/>
          <w:lang w:eastAsia="zh-CN"/>
        </w:rPr>
        <w:t>、</w:t>
      </w:r>
      <w:r>
        <w:rPr>
          <w:rFonts w:hint="eastAsia"/>
          <w:color w:val="000000"/>
          <w:sz w:val="24"/>
          <w:szCs w:val="24"/>
          <w:lang w:val="en-US" w:eastAsia="zh-CN"/>
        </w:rPr>
        <w:t>upsmp</w:t>
      </w:r>
      <w:r>
        <w:rPr>
          <w:rFonts w:ascii="Times New Roman" w:hAnsi="Times New Roman" w:eastAsia="宋体"/>
          <w:color w:val="000000"/>
          <w:sz w:val="24"/>
          <w:szCs w:val="24"/>
        </w:rPr>
        <w:t xml:space="preserve"> 等</w:t>
      </w:r>
      <w:r>
        <w:rPr>
          <w:rFonts w:hint="eastAsia"/>
          <w:color w:val="000000"/>
          <w:sz w:val="24"/>
          <w:szCs w:val="24"/>
          <w:lang w:val="en-US" w:eastAsia="zh-CN"/>
        </w:rPr>
        <w:t>算子</w:t>
      </w:r>
      <w:r>
        <w:rPr>
          <w:rFonts w:ascii="Times New Roman" w:hAnsi="Times New Roman" w:eastAsia="宋体"/>
          <w:color w:val="000000"/>
          <w:sz w:val="24"/>
          <w:szCs w:val="24"/>
        </w:rPr>
        <w:t>，</w:t>
      </w:r>
      <w:r>
        <w:rPr>
          <w:rFonts w:hint="eastAsia"/>
          <w:color w:val="000000"/>
          <w:sz w:val="24"/>
          <w:szCs w:val="24"/>
          <w:lang w:val="en-US" w:eastAsia="zh-CN"/>
        </w:rPr>
        <w:t>算子层</w:t>
      </w:r>
      <w:r>
        <w:rPr>
          <w:rFonts w:ascii="Times New Roman" w:hAnsi="Times New Roman" w:eastAsia="宋体"/>
          <w:color w:val="000000"/>
          <w:sz w:val="24"/>
          <w:szCs w:val="24"/>
        </w:rPr>
        <w:t>负责将单个算子的执行描述翻译为 NPU 汇编片段</w:t>
      </w:r>
      <w:r>
        <w:rPr>
          <w:rFonts w:hint="eastAsia"/>
          <w:color w:val="000000"/>
          <w:sz w:val="24"/>
          <w:szCs w:val="24"/>
          <w:lang w:eastAsia="zh-CN"/>
        </w:rPr>
        <w:t>。</w:t>
      </w:r>
      <w:r>
        <w:rPr>
          <w:rFonts w:ascii="Times New Roman" w:hAnsi="Times New Roman" w:eastAsia="宋体"/>
          <w:color w:val="000000"/>
          <w:sz w:val="24"/>
          <w:szCs w:val="24"/>
        </w:rPr>
        <w:t>以 CONV 为例，</w:t>
      </w:r>
      <w:r>
        <w:rPr>
          <w:rFonts w:hint="eastAsia"/>
          <w:color w:val="000000"/>
          <w:sz w:val="24"/>
          <w:szCs w:val="24"/>
          <w:lang w:val="en-US" w:eastAsia="zh-CN"/>
        </w:rPr>
        <w:t>算子层</w:t>
      </w:r>
      <w:r>
        <w:rPr>
          <w:rFonts w:ascii="Times New Roman" w:hAnsi="Times New Roman" w:eastAsia="宋体"/>
          <w:color w:val="000000"/>
          <w:sz w:val="24"/>
          <w:szCs w:val="24"/>
        </w:rPr>
        <w:t>首先生成输入地址、输出地址和权重地址的通用寄存器配置指令，</w:t>
      </w:r>
      <w:r>
        <w:rPr>
          <w:rFonts w:hint="eastAsia"/>
          <w:color w:val="000000"/>
          <w:sz w:val="24"/>
          <w:szCs w:val="24"/>
          <w:lang w:val="en-US" w:eastAsia="zh-CN"/>
        </w:rPr>
        <w:t>以及</w:t>
      </w:r>
      <w:r>
        <w:rPr>
          <w:rFonts w:ascii="Times New Roman" w:hAnsi="Times New Roman" w:eastAsia="宋体"/>
          <w:color w:val="000000"/>
          <w:sz w:val="24"/>
          <w:szCs w:val="24"/>
        </w:rPr>
        <w:t>RCONV1/RCONV2 专用配置寄存器。最后生成</w:t>
      </w:r>
      <w:r>
        <w:rPr>
          <w:rFonts w:hint="eastAsia"/>
          <w:color w:val="000000"/>
          <w:sz w:val="24"/>
          <w:szCs w:val="24"/>
          <w:lang w:val="en-US" w:eastAsia="zh-CN"/>
        </w:rPr>
        <w:t>卷积</w:t>
      </w:r>
      <w:r>
        <w:rPr>
          <w:rFonts w:ascii="Times New Roman" w:hAnsi="Times New Roman" w:eastAsia="宋体"/>
          <w:color w:val="000000"/>
          <w:sz w:val="24"/>
          <w:szCs w:val="24"/>
        </w:rPr>
        <w:t>计算指令。</w:t>
      </w:r>
      <w:r>
        <w:rPr>
          <w:rFonts w:hint="eastAsia"/>
          <w:color w:val="000000"/>
          <w:sz w:val="24"/>
          <w:szCs w:val="24"/>
          <w:lang w:val="en-US" w:eastAsia="zh-CN"/>
        </w:rPr>
        <w:t>下图为某模型生成的汇编指令。</w:t>
      </w:r>
    </w:p>
    <w:p w14:paraId="2CED5C09">
      <w:pPr>
        <w:spacing w:before="0" w:after="120" w:line="360" w:lineRule="auto"/>
        <w:ind w:firstLine="480"/>
        <w:rPr>
          <w:rFonts w:hint="eastAsia" w:ascii="Times New Roman" w:hAnsi="Times New Roman" w:eastAsia="宋体"/>
          <w:color w:val="000000"/>
          <w:sz w:val="24"/>
          <w:szCs w:val="24"/>
          <w:lang w:eastAsia="zh-CN"/>
        </w:rPr>
      </w:pPr>
      <w:r>
        <w:rPr>
          <w:rFonts w:hint="default" w:ascii="宋体" w:hAnsi="宋体" w:eastAsia="宋体" w:cs="宋体"/>
          <w:lang w:val="en-US" w:eastAsia="zh-CN"/>
        </w:rPr>
        <w:drawing>
          <wp:inline distT="0" distB="0" distL="114300" distR="114300">
            <wp:extent cx="5269230" cy="3796030"/>
            <wp:effectExtent l="0" t="0" r="7620" b="13970"/>
            <wp:docPr id="16" name="图片 16" descr="0b97643e-0ee6-41bb-87f2-ca7fc25401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b97643e-0ee6-41bb-87f2-ca7fc25401f4"/>
                    <pic:cNvPicPr>
                      <a:picLocks noChangeAspect="1"/>
                    </pic:cNvPicPr>
                  </pic:nvPicPr>
                  <pic:blipFill>
                    <a:blip r:embed="rId18"/>
                    <a:stretch>
                      <a:fillRect/>
                    </a:stretch>
                  </pic:blipFill>
                  <pic:spPr>
                    <a:xfrm>
                      <a:off x="0" y="0"/>
                      <a:ext cx="5269230" cy="3796030"/>
                    </a:xfrm>
                    <a:prstGeom prst="rect">
                      <a:avLst/>
                    </a:prstGeom>
                  </pic:spPr>
                </pic:pic>
              </a:graphicData>
            </a:graphic>
          </wp:inline>
        </w:drawing>
      </w:r>
    </w:p>
    <w:p w14:paraId="116F68DF">
      <w:pPr>
        <w:numPr>
          <w:ilvl w:val="0"/>
          <w:numId w:val="0"/>
        </w:numPr>
        <w:spacing w:after="120" w:line="280" w:lineRule="auto"/>
        <w:jc w:val="center"/>
        <w:rPr>
          <w:rFonts w:ascii="Times New Roman" w:hAnsi="Times New Roman" w:eastAsia="宋体"/>
          <w:b/>
          <w:bCs/>
          <w:color w:val="000000"/>
          <w:sz w:val="24"/>
          <w:szCs w:val="24"/>
        </w:rPr>
      </w:pPr>
      <w:r>
        <w:rPr>
          <w:rFonts w:ascii="Times New Roman" w:hAnsi="Times New Roman" w:eastAsia="宋体"/>
          <w:color w:val="000000"/>
          <w:sz w:val="21"/>
          <w:szCs w:val="21"/>
        </w:rPr>
        <w:t>图</w:t>
      </w:r>
      <w:r>
        <w:rPr>
          <w:rFonts w:hint="eastAsia"/>
          <w:color w:val="000000"/>
          <w:sz w:val="21"/>
          <w:szCs w:val="21"/>
          <w:lang w:val="en-US" w:eastAsia="zh-CN"/>
        </w:rPr>
        <w:t>8</w:t>
      </w:r>
      <w:r>
        <w:rPr>
          <w:rFonts w:ascii="Times New Roman" w:hAnsi="Times New Roman" w:eastAsia="宋体"/>
          <w:color w:val="000000"/>
          <w:sz w:val="21"/>
          <w:szCs w:val="21"/>
        </w:rPr>
        <w:t xml:space="preserve"> </w:t>
      </w:r>
      <w:r>
        <w:rPr>
          <w:rFonts w:hint="eastAsia"/>
          <w:color w:val="000000"/>
          <w:sz w:val="21"/>
          <w:szCs w:val="21"/>
          <w:lang w:val="en-US" w:eastAsia="zh-CN"/>
        </w:rPr>
        <w:t>内存规划文件</w:t>
      </w:r>
    </w:p>
    <w:p w14:paraId="7858068C">
      <w:pPr>
        <w:spacing w:before="0" w:after="120" w:line="360" w:lineRule="auto"/>
        <w:ind w:firstLine="480"/>
        <w:rPr>
          <w:rFonts w:hint="eastAsia"/>
          <w:color w:val="000000"/>
          <w:sz w:val="24"/>
          <w:szCs w:val="24"/>
          <w:lang w:val="en-US" w:eastAsia="zh-CN"/>
        </w:rPr>
      </w:pPr>
      <w:r>
        <w:rPr>
          <w:rFonts w:ascii="Times New Roman" w:hAnsi="Times New Roman" w:eastAsia="宋体"/>
          <w:color w:val="000000"/>
          <w:sz w:val="24"/>
          <w:szCs w:val="24"/>
        </w:rPr>
        <w:t>汇编器实现了当前 NPU 指令编码规则</w:t>
      </w:r>
      <w:r>
        <w:rPr>
          <w:rFonts w:hint="eastAsia"/>
          <w:color w:val="000000"/>
          <w:sz w:val="24"/>
          <w:szCs w:val="24"/>
          <w:lang w:eastAsia="zh-CN"/>
        </w:rPr>
        <w:t>，</w:t>
      </w:r>
      <w:r>
        <w:rPr>
          <w:rFonts w:hint="eastAsia"/>
          <w:color w:val="000000"/>
          <w:sz w:val="24"/>
          <w:szCs w:val="24"/>
          <w:lang w:val="en-US" w:eastAsia="zh-CN"/>
        </w:rPr>
        <w:t>负责将汇编指令进一步生成为机器码。</w:t>
      </w:r>
    </w:p>
    <w:p w14:paraId="4F262AF1">
      <w:pPr>
        <w:spacing w:before="0" w:after="120" w:line="360" w:lineRule="auto"/>
        <w:ind w:firstLine="480"/>
        <w:rPr>
          <w:rFonts w:hint="default"/>
          <w:color w:val="000000"/>
          <w:sz w:val="24"/>
          <w:szCs w:val="24"/>
          <w:lang w:val="en-US" w:eastAsia="zh-CN"/>
        </w:rPr>
      </w:pPr>
    </w:p>
    <w:p w14:paraId="491AFF45">
      <w:pPr>
        <w:spacing w:before="0" w:after="120" w:line="360" w:lineRule="auto"/>
        <w:ind w:firstLine="480"/>
        <w:rPr>
          <w:rFonts w:ascii="Times New Roman" w:hAnsi="Times New Roman" w:eastAsia="宋体"/>
          <w:color w:val="000000"/>
          <w:sz w:val="24"/>
          <w:szCs w:val="24"/>
        </w:rPr>
      </w:pPr>
      <w:r>
        <w:rPr>
          <w:rFonts w:ascii="Times New Roman" w:hAnsi="Times New Roman" w:eastAsia="宋体"/>
          <w:color w:val="000000"/>
          <w:sz w:val="24"/>
          <w:szCs w:val="24"/>
        </w:rPr>
        <w:t>机器码文本生成后，</w:t>
      </w:r>
      <w:r>
        <w:rPr>
          <w:rFonts w:hint="eastAsia"/>
          <w:color w:val="000000"/>
          <w:sz w:val="24"/>
          <w:szCs w:val="24"/>
          <w:lang w:val="en-US" w:eastAsia="zh-CN"/>
        </w:rPr>
        <w:t>会根据不同场景分别生成不同的可执行文件。对于BRAM仿真场景，会将格式化后的模型参数和指令一同打包为一个总的可执行文件；</w:t>
      </w:r>
      <w:r>
        <w:rPr>
          <w:rFonts w:ascii="Times New Roman" w:hAnsi="Times New Roman" w:eastAsia="宋体"/>
          <w:color w:val="000000"/>
          <w:sz w:val="24"/>
          <w:szCs w:val="24"/>
        </w:rPr>
        <w:t>对于 DDR 场景，</w:t>
      </w:r>
      <w:r>
        <w:rPr>
          <w:rFonts w:hint="eastAsia"/>
          <w:color w:val="000000"/>
          <w:sz w:val="24"/>
          <w:szCs w:val="24"/>
          <w:lang w:val="en-US" w:eastAsia="zh-CN"/>
        </w:rPr>
        <w:t>编译器</w:t>
      </w:r>
      <w:r>
        <w:rPr>
          <w:rFonts w:ascii="Times New Roman" w:hAnsi="Times New Roman" w:eastAsia="宋体"/>
          <w:color w:val="000000"/>
          <w:sz w:val="24"/>
          <w:szCs w:val="24"/>
        </w:rPr>
        <w:t xml:space="preserve">会把参数和指令分别导出为 </w:t>
      </w:r>
      <w:r>
        <w:rPr>
          <w:rFonts w:hint="eastAsia"/>
          <w:color w:val="000000"/>
          <w:sz w:val="24"/>
          <w:szCs w:val="24"/>
          <w:lang w:val="en-US" w:eastAsia="zh-CN"/>
        </w:rPr>
        <w:t>两个</w:t>
      </w:r>
      <w:r>
        <w:rPr>
          <w:rFonts w:ascii="Times New Roman" w:hAnsi="Times New Roman" w:eastAsia="宋体"/>
          <w:color w:val="000000"/>
          <w:sz w:val="24"/>
          <w:szCs w:val="24"/>
        </w:rPr>
        <w:t>裸二进制文件，便于运行系统以不同基地址加载。</w:t>
      </w:r>
    </w:p>
    <w:p w14:paraId="773EA3F3">
      <w:pPr>
        <w:spacing w:before="0" w:after="120" w:line="360" w:lineRule="auto"/>
        <w:jc w:val="center"/>
        <w:rPr>
          <w:rFonts w:hint="eastAsia" w:ascii="Times New Roman" w:hAnsi="Times New Roman" w:eastAsia="宋体"/>
          <w:color w:val="000000"/>
          <w:sz w:val="24"/>
          <w:szCs w:val="24"/>
          <w:lang w:eastAsia="zh-CN"/>
        </w:rPr>
      </w:pPr>
      <w:r>
        <w:rPr>
          <w:rFonts w:hint="eastAsia" w:ascii="Times New Roman" w:hAnsi="Times New Roman" w:eastAsia="宋体"/>
          <w:color w:val="000000"/>
          <w:sz w:val="24"/>
          <w:szCs w:val="24"/>
          <w:lang w:eastAsia="zh-CN"/>
        </w:rPr>
        <w:drawing>
          <wp:inline distT="0" distB="0" distL="114300" distR="114300">
            <wp:extent cx="3192145" cy="1947545"/>
            <wp:effectExtent l="0" t="0" r="8255" b="14605"/>
            <wp:docPr id="11" name="图片 11" descr="3c181b81-f76a-4760-a028-889a58fd35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c181b81-f76a-4760-a028-889a58fd357d"/>
                    <pic:cNvPicPr>
                      <a:picLocks noChangeAspect="1"/>
                    </pic:cNvPicPr>
                  </pic:nvPicPr>
                  <pic:blipFill>
                    <a:blip r:embed="rId19"/>
                    <a:stretch>
                      <a:fillRect/>
                    </a:stretch>
                  </pic:blipFill>
                  <pic:spPr>
                    <a:xfrm>
                      <a:off x="0" y="0"/>
                      <a:ext cx="3192145" cy="1947545"/>
                    </a:xfrm>
                    <a:prstGeom prst="rect">
                      <a:avLst/>
                    </a:prstGeom>
                  </pic:spPr>
                </pic:pic>
              </a:graphicData>
            </a:graphic>
          </wp:inline>
        </w:drawing>
      </w:r>
    </w:p>
    <w:p w14:paraId="23FCF841">
      <w:pPr>
        <w:spacing w:before="80" w:after="140" w:line="300" w:lineRule="auto"/>
        <w:jc w:val="center"/>
        <w:rPr>
          <w:rFonts w:hint="default" w:eastAsia="宋体"/>
          <w:lang w:val="en-US" w:eastAsia="zh-CN"/>
        </w:rPr>
      </w:pPr>
      <w:r>
        <w:rPr>
          <w:rFonts w:ascii="Times New Roman" w:hAnsi="Times New Roman" w:eastAsia="宋体"/>
          <w:color w:val="000000"/>
          <w:sz w:val="21"/>
          <w:szCs w:val="21"/>
        </w:rPr>
        <w:t>图</w:t>
      </w:r>
      <w:r>
        <w:rPr>
          <w:rFonts w:hint="eastAsia"/>
          <w:color w:val="000000"/>
          <w:sz w:val="21"/>
          <w:szCs w:val="21"/>
          <w:lang w:val="en-US" w:eastAsia="zh-CN"/>
        </w:rPr>
        <w:t>9</w:t>
      </w:r>
      <w:r>
        <w:rPr>
          <w:rFonts w:ascii="Times New Roman" w:hAnsi="Times New Roman" w:eastAsia="宋体"/>
          <w:color w:val="000000"/>
          <w:sz w:val="21"/>
          <w:szCs w:val="21"/>
        </w:rPr>
        <w:t xml:space="preserve"> NPU</w:t>
      </w:r>
      <w:r>
        <w:rPr>
          <w:rFonts w:hint="eastAsia"/>
          <w:color w:val="000000"/>
          <w:sz w:val="21"/>
          <w:szCs w:val="21"/>
          <w:lang w:val="en-US" w:eastAsia="zh-CN"/>
        </w:rPr>
        <w:t>可执行文件</w:t>
      </w:r>
    </w:p>
    <w:p w14:paraId="1DC94FE6">
      <w:pPr>
        <w:pStyle w:val="2"/>
        <w:bidi w:val="0"/>
        <w:rPr>
          <w:rFonts w:hint="eastAsia" w:ascii="Times New Roman" w:hAnsi="Times New Roman" w:eastAsia="黑体"/>
          <w:b/>
          <w:color w:val="000000"/>
          <w:sz w:val="32"/>
          <w:szCs w:val="32"/>
          <w:lang w:val="en-US" w:eastAsia="zh-CN"/>
        </w:rPr>
      </w:pPr>
      <w:r>
        <w:br w:type="page"/>
      </w:r>
      <w:bookmarkStart w:id="13" w:name="_Toc12531"/>
      <w:r>
        <w:rPr>
          <w:rFonts w:ascii="Times New Roman" w:hAnsi="Times New Roman" w:eastAsia="黑体"/>
          <w:b/>
          <w:color w:val="000000"/>
          <w:sz w:val="32"/>
          <w:szCs w:val="32"/>
        </w:rPr>
        <w:t xml:space="preserve">3 </w:t>
      </w:r>
      <w:r>
        <w:rPr>
          <w:rFonts w:hint="eastAsia"/>
          <w:b/>
          <w:color w:val="000000"/>
          <w:sz w:val="32"/>
          <w:szCs w:val="32"/>
          <w:lang w:val="en-US" w:eastAsia="zh-CN"/>
        </w:rPr>
        <w:t>编译器</w:t>
      </w:r>
      <w:r>
        <w:rPr>
          <w:rFonts w:ascii="Times New Roman" w:hAnsi="Times New Roman" w:eastAsia="黑体"/>
          <w:b/>
          <w:color w:val="000000"/>
          <w:sz w:val="32"/>
          <w:szCs w:val="32"/>
        </w:rPr>
        <w:t>扩展</w:t>
      </w:r>
      <w:r>
        <w:rPr>
          <w:rFonts w:hint="eastAsia"/>
          <w:b/>
          <w:color w:val="000000"/>
          <w:sz w:val="32"/>
          <w:szCs w:val="32"/>
          <w:lang w:val="en-US" w:eastAsia="zh-CN"/>
        </w:rPr>
        <w:t>方法</w:t>
      </w:r>
      <w:bookmarkEnd w:id="13"/>
    </w:p>
    <w:p w14:paraId="0F27AEBB">
      <w:pPr>
        <w:pStyle w:val="3"/>
        <w:bidi w:val="0"/>
        <w:rPr>
          <w:rFonts w:hint="default"/>
          <w:lang w:val="en-US" w:eastAsia="zh-CN"/>
        </w:rPr>
      </w:pPr>
      <w:bookmarkStart w:id="14" w:name="_Toc15540"/>
      <w:r>
        <w:rPr>
          <w:rFonts w:hint="eastAsia"/>
          <w:lang w:val="en-US" w:eastAsia="zh-CN"/>
        </w:rPr>
        <w:t>3.1 支持更多模型的拓展方法</w:t>
      </w:r>
      <w:bookmarkEnd w:id="14"/>
    </w:p>
    <w:p w14:paraId="7C519F21">
      <w:pPr>
        <w:spacing w:before="0" w:after="120" w:line="360" w:lineRule="auto"/>
        <w:ind w:firstLine="480"/>
      </w:pPr>
      <w:r>
        <w:rPr>
          <w:rFonts w:hint="eastAsia" w:ascii="Times New Roman" w:hAnsi="Times New Roman" w:eastAsia="宋体"/>
          <w:sz w:val="24"/>
          <w:szCs w:val="24"/>
          <w:lang w:val="en-US" w:eastAsia="zh-CN"/>
        </w:rPr>
        <w:t>当前编译器在总体结构上</w:t>
      </w:r>
      <w:r>
        <w:rPr>
          <w:rFonts w:hint="eastAsia"/>
          <w:sz w:val="24"/>
          <w:szCs w:val="24"/>
          <w:lang w:val="en-US" w:eastAsia="zh-CN"/>
        </w:rPr>
        <w:t>对不同</w:t>
      </w:r>
      <w:r>
        <w:rPr>
          <w:rFonts w:hint="eastAsia" w:ascii="Times New Roman" w:hAnsi="Times New Roman" w:eastAsia="宋体"/>
          <w:sz w:val="24"/>
          <w:szCs w:val="24"/>
          <w:lang w:val="en-US" w:eastAsia="zh-CN"/>
        </w:rPr>
        <w:t>模型类型的差异主要体现在前端</w:t>
      </w:r>
      <w:r>
        <w:rPr>
          <w:rFonts w:hint="eastAsia"/>
          <w:sz w:val="24"/>
          <w:szCs w:val="24"/>
          <w:lang w:val="en-US" w:eastAsia="zh-CN"/>
        </w:rPr>
        <w:t>的模型</w:t>
      </w:r>
      <w:r>
        <w:rPr>
          <w:rFonts w:hint="eastAsia" w:ascii="Times New Roman" w:hAnsi="Times New Roman" w:eastAsia="宋体"/>
          <w:sz w:val="24"/>
          <w:szCs w:val="24"/>
          <w:lang w:val="en-US" w:eastAsia="zh-CN"/>
        </w:rPr>
        <w:t>解析阶段，而内存规划、指令生成和可执行文件导出</w:t>
      </w:r>
      <w:r>
        <w:rPr>
          <w:rFonts w:hint="eastAsia"/>
          <w:sz w:val="24"/>
          <w:szCs w:val="24"/>
          <w:lang w:val="en-US" w:eastAsia="zh-CN"/>
        </w:rPr>
        <w:t>等后续步骤</w:t>
      </w:r>
      <w:r>
        <w:rPr>
          <w:rFonts w:hint="eastAsia" w:ascii="Times New Roman" w:hAnsi="Times New Roman" w:eastAsia="宋体"/>
          <w:sz w:val="24"/>
          <w:szCs w:val="24"/>
          <w:lang w:val="en-US" w:eastAsia="zh-CN"/>
        </w:rPr>
        <w:t>并不依赖原始模型格式</w:t>
      </w:r>
      <w:r>
        <w:rPr>
          <w:rFonts w:hint="eastAsia"/>
          <w:sz w:val="24"/>
          <w:szCs w:val="24"/>
          <w:lang w:val="en-US" w:eastAsia="zh-CN"/>
        </w:rPr>
        <w:t>，只依赖于根据模型生成的标准IR</w:t>
      </w:r>
      <w:r>
        <w:rPr>
          <w:rFonts w:hint="eastAsia" w:ascii="Times New Roman" w:hAnsi="Times New Roman" w:eastAsia="宋体"/>
          <w:sz w:val="24"/>
          <w:szCs w:val="24"/>
          <w:lang w:val="en-US" w:eastAsia="zh-CN"/>
        </w:rPr>
        <w:t>。因此，当编译器需要进一步扩展</w:t>
      </w:r>
      <w:r>
        <w:rPr>
          <w:rFonts w:hint="eastAsia"/>
          <w:sz w:val="24"/>
          <w:szCs w:val="24"/>
          <w:lang w:val="en-US" w:eastAsia="zh-CN"/>
        </w:rPr>
        <w:t>支持</w:t>
      </w:r>
      <w:r>
        <w:rPr>
          <w:rFonts w:hint="eastAsia" w:ascii="Times New Roman" w:hAnsi="Times New Roman" w:eastAsia="宋体"/>
          <w:sz w:val="24"/>
          <w:szCs w:val="24"/>
          <w:lang w:val="en-US" w:eastAsia="zh-CN"/>
        </w:rPr>
        <w:t>其他模型格式时，不需要重新设计后端编译链路，而</w:t>
      </w:r>
      <w:r>
        <w:rPr>
          <w:rFonts w:hint="eastAsia"/>
          <w:sz w:val="24"/>
          <w:szCs w:val="24"/>
          <w:lang w:val="en-US" w:eastAsia="zh-CN"/>
        </w:rPr>
        <w:t>只用在</w:t>
      </w:r>
      <w:r>
        <w:rPr>
          <w:rFonts w:hint="eastAsia" w:ascii="Times New Roman" w:hAnsi="Times New Roman" w:eastAsia="宋体"/>
          <w:sz w:val="24"/>
          <w:szCs w:val="24"/>
          <w:lang w:val="en-US" w:eastAsia="zh-CN"/>
        </w:rPr>
        <w:t>围绕模型解析层进行扩展，使新的模型格式能够被转换为与现有流程一致的标准IR。</w:t>
      </w:r>
    </w:p>
    <w:p w14:paraId="15C0A8F3">
      <w:pPr>
        <w:spacing w:before="0" w:after="120" w:line="360" w:lineRule="auto"/>
        <w:ind w:firstLine="480"/>
      </w:pPr>
      <w:r>
        <w:rPr>
          <w:rFonts w:hint="eastAsia" w:ascii="Times New Roman" w:hAnsi="Times New Roman" w:eastAsia="宋体"/>
          <w:sz w:val="24"/>
          <w:szCs w:val="24"/>
          <w:lang w:val="en-US" w:eastAsia="zh-CN"/>
        </w:rPr>
        <w:t>以支持ONNX模型为例，首先需要在模型输入层增加新的模型类型识别与分发机制，使编译器能够根据用户选择或模型后缀进入ONNX专用解析流程。该流程的主要任务不是直接生成NPU指令，而是读取ONNX计算图中的节点、张量、参数和属性信息，并将其规整为编译器内部统一使用的算子描述。例如，ONNX中的卷积、激活、池化和全连接等节点，需要被映射为标准IR中的对应算子；节点之间的输入输出关系，需要被转换为标准IR中的数据依赖关系；权重、偏置等参数，则需要按照统一的参数描述方式导出。这样做可以保证后端看到的始终是稳定的IR结构，而不是不同框架各自的原生图结构。</w:t>
      </w:r>
    </w:p>
    <w:p w14:paraId="2DC6C5F4">
      <w:pPr>
        <w:spacing w:before="0" w:after="120" w:line="360" w:lineRule="auto"/>
        <w:ind w:firstLine="480"/>
      </w:pPr>
      <w:r>
        <w:rPr>
          <w:rFonts w:hint="eastAsia" w:ascii="Times New Roman" w:hAnsi="Times New Roman" w:eastAsia="宋体"/>
          <w:sz w:val="24"/>
          <w:szCs w:val="24"/>
          <w:lang w:val="en-US" w:eastAsia="zh-CN"/>
        </w:rPr>
        <w:t>完成前端扩展后，</w:t>
      </w:r>
      <w:r>
        <w:rPr>
          <w:rFonts w:hint="eastAsia"/>
          <w:sz w:val="24"/>
          <w:szCs w:val="24"/>
          <w:lang w:val="en-US" w:eastAsia="zh-CN"/>
        </w:rPr>
        <w:t>就可以使编译器能够支持不同类型模型的解析</w:t>
      </w:r>
      <w:r>
        <w:rPr>
          <w:rFonts w:hint="eastAsia" w:ascii="Times New Roman" w:hAnsi="Times New Roman" w:eastAsia="宋体"/>
          <w:sz w:val="24"/>
          <w:szCs w:val="24"/>
          <w:lang w:val="en-US" w:eastAsia="zh-CN"/>
        </w:rPr>
        <w:t>。通过这种方式，新增模型格式的工作量被限制在前端适配与语义校验范围内，后续编译流程仍能保持统一。</w:t>
      </w:r>
    </w:p>
    <w:p w14:paraId="7CB6B465">
      <w:pPr>
        <w:pStyle w:val="3"/>
        <w:bidi w:val="0"/>
        <w:rPr>
          <w:rFonts w:hint="default" w:ascii="Times New Roman" w:hAnsi="Times New Roman" w:eastAsia="宋体"/>
          <w:color w:val="000000"/>
          <w:sz w:val="24"/>
          <w:szCs w:val="24"/>
          <w:lang w:val="en-US"/>
        </w:rPr>
      </w:pPr>
      <w:bookmarkStart w:id="15" w:name="_Toc19443"/>
      <w:r>
        <w:rPr>
          <w:rFonts w:hint="eastAsia"/>
          <w:lang w:val="en-US" w:eastAsia="zh-CN"/>
        </w:rPr>
        <w:t>3.2 如何增加新算子</w:t>
      </w:r>
      <w:bookmarkEnd w:id="15"/>
    </w:p>
    <w:p w14:paraId="705E04D6">
      <w:pPr>
        <w:spacing w:before="0" w:after="120" w:line="360" w:lineRule="auto"/>
        <w:ind w:firstLine="480"/>
      </w:pPr>
      <w:r>
        <w:rPr>
          <w:rFonts w:hint="eastAsia" w:ascii="Times New Roman" w:hAnsi="Times New Roman" w:eastAsia="宋体"/>
          <w:sz w:val="24"/>
          <w:szCs w:val="24"/>
          <w:lang w:val="en-US" w:eastAsia="zh-CN"/>
        </w:rPr>
        <w:t>与新增模型格式类似，新增算子</w:t>
      </w:r>
      <w:r>
        <w:rPr>
          <w:rFonts w:hint="eastAsia"/>
          <w:sz w:val="24"/>
          <w:szCs w:val="24"/>
          <w:lang w:val="en-US" w:eastAsia="zh-CN"/>
        </w:rPr>
        <w:t>也只用在编译器的相应层级进行修改</w:t>
      </w:r>
      <w:r>
        <w:rPr>
          <w:rFonts w:hint="eastAsia" w:ascii="Times New Roman" w:hAnsi="Times New Roman" w:eastAsia="宋体"/>
          <w:sz w:val="24"/>
          <w:szCs w:val="24"/>
          <w:lang w:val="en-US" w:eastAsia="zh-CN"/>
        </w:rPr>
        <w:t>。当前编译器将模型解析、标准IR、内存规划、算子指令生成和机器码编码分为相对独立的阶段，因此新增算子时不需要重写完整编译器。换言之，新算子首先要能在标准IR中被准确表达，其次要能在内存规划阶段得到合法的输入输出地址和张量形状，最后才需要被翻译为NPU能够执行的汇编指令和机器码。</w:t>
      </w:r>
    </w:p>
    <w:p w14:paraId="2EFC83C7">
      <w:pPr>
        <w:spacing w:before="0" w:after="120" w:line="360" w:lineRule="auto"/>
        <w:ind w:firstLine="480"/>
      </w:pPr>
      <w:r>
        <w:rPr>
          <w:rFonts w:hint="eastAsia" w:ascii="Times New Roman" w:hAnsi="Times New Roman" w:eastAsia="宋体"/>
          <w:sz w:val="24"/>
          <w:szCs w:val="24"/>
          <w:lang w:val="en-US" w:eastAsia="zh-CN"/>
        </w:rPr>
        <w:t>首先，在模型解析和标准IR层面，需要明确新算子的统一名称、输入输出数量、必要属性以及参数形式。例如，若新增上采样算子，需要在IR中记录输入张量、输出张量、放大倍数或目标尺寸；若新增矩阵相加算子，则需要记录两个输入地址、输出地址、通道数和矩阵尺寸。前端解析不同模型格式时，都应把原始框架中的算子映射到同一个IR算子名称，而不是为每一种模型格式分别设计后端逻辑。这样可以保证无论模型来自PT2还是ONNX，只要它们表达的是同一类计算，后端都可以复用同一套规划和指令生成规则。</w:t>
      </w:r>
    </w:p>
    <w:p w14:paraId="48F9BAE1">
      <w:pPr>
        <w:spacing w:before="0" w:after="120" w:line="360" w:lineRule="auto"/>
        <w:ind w:firstLine="480"/>
      </w:pPr>
      <w:r>
        <w:rPr>
          <w:rFonts w:hint="eastAsia" w:ascii="Times New Roman" w:hAnsi="Times New Roman" w:eastAsia="宋体"/>
          <w:sz w:val="24"/>
          <w:szCs w:val="24"/>
          <w:lang w:val="en-US" w:eastAsia="zh-CN"/>
        </w:rPr>
        <w:t>其次，在内存规划层面，需要为新算子补充形状推导、存储空间分配和硬件约束检查。形状推导用于确定该算子的输出张量大小；存储空间分配用于决定输出数据放入运行时区域还是固定输出区域；硬件约束检查则用于判断算子参数是否能被NPU当前指令字段表达。例如，若硬件只支持固定窗口大小或固定步长，则编译器应在规划阶段拦截不合法配置。对于需要参数的新算子，还要明确参数在初始化区中的排列方式、对齐方式和与运行时数据之间的地址关系。内存规划阶段生成的信息应足够完整，使后续指令生成阶段不再重新推断全局地址和张量布局。</w:t>
      </w:r>
    </w:p>
    <w:p w14:paraId="26DDFB73">
      <w:pPr>
        <w:spacing w:before="0" w:after="120" w:line="360" w:lineRule="auto"/>
        <w:ind w:firstLine="480"/>
      </w:pPr>
      <w:r>
        <w:rPr>
          <w:rFonts w:hint="eastAsia" w:ascii="Times New Roman" w:hAnsi="Times New Roman" w:eastAsia="宋体"/>
          <w:sz w:val="24"/>
          <w:szCs w:val="24"/>
          <w:lang w:val="en-US" w:eastAsia="zh-CN"/>
        </w:rPr>
        <w:t>再次，在算子指令生成层面，需要把内存规划中形成的算子执行描述转换为NPU汇编片段。一般而言，该阶段包含三类信息：一是输入、输出和参数地址的寄存器配置；二是算子专用配置寄存器的字段编码；三是触发硬件执行的计算指令。新增算子时，应根据硬件指令手册确定这些字段的含义和取值范围，并保持与已有算子相同的生成风格。如果新算子对应已有机器码类型，只需增加新的汇编生成模板；如果新算子引入了新的指令助记符或新的专用寄存器编码，则还需要同步扩展汇编编码规则，使汇编器能够把该算子转换为正确的机器码。</w:t>
      </w:r>
    </w:p>
    <w:p w14:paraId="7B1AE2A7">
      <w:pPr>
        <w:spacing w:before="0" w:after="80" w:line="300" w:lineRule="auto"/>
      </w:pPr>
    </w:p>
    <w:sectPr>
      <w:footerReference r:id="rId7" w:type="default"/>
      <w:pgSz w:w="11906" w:h="16838"/>
      <w:pgMar w:top="1440" w:right="1440" w:bottom="1440" w:left="1440" w:header="708" w:footer="708"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1E57AC">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394A43">
    <w:pPr>
      <w:pStyle w:val="6"/>
    </w:pPr>
    <w:r>
      <w:rPr>
        <w:sz w:val="18"/>
      </w:rPr>
      <w:pict>
        <v:shape id="_x0000_s4097" o:spid="_x0000_s4097"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62DEB613">
                <w:pPr>
                  <w:pStyle w:val="6"/>
                </w:pPr>
                <w:r>
                  <w:fldChar w:fldCharType="begin"/>
                </w:r>
                <w:r>
                  <w:instrText xml:space="preserve"> PAGE  \* MERGEFORMAT </w:instrText>
                </w:r>
                <w:r>
                  <w:fldChar w:fldCharType="separate"/>
                </w:r>
                <w:r>
                  <w:t>2</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5C5F5B">
    <w:pPr>
      <w:pStyle w:val="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bordersDoNotSurroundHeader w:val="0"/>
  <w:bordersDoNotSurroundFooter w:val="0"/>
  <w:documentProtection w:enforcement="0"/>
  <w:displayHorizontalDrawingGridEvery w:val="1"/>
  <w:displayVerticalDrawingGridEvery w:val="1"/>
  <w:noPunctuationKerning w:val="1"/>
  <w:hdrShapeDefaults>
    <o:shapelayout v:ext="edit">
      <o:idmap v:ext="edit" data="3,4"/>
    </o:shapelayout>
  </w:hdrShapeDefaults>
  <w:footnotePr>
    <w:footnote w:id="0"/>
    <w:footnote w:id="1"/>
  </w:footnotePr>
  <w:endnotePr>
    <w:endnote w:id="0"/>
    <w:endnote w:id="1"/>
  </w:endnotePr>
  <w:compat>
    <w:doNotExpandShiftReturn/>
    <w:doNotWrapTextWithPunct/>
    <w:doNotUseEastAsianBreakRules/>
    <w:useFELayout/>
    <w:splitPgBreakAndParaMark/>
    <w:compatSetting w:name="compatibilityMode" w:uri="http://schemas.microsoft.com/office/word" w:val="12"/>
  </w:compat>
  <w:rsids>
    <w:rsidRoot w:val="00000000"/>
    <w:rsid w:val="010C273C"/>
    <w:rsid w:val="012E1F25"/>
    <w:rsid w:val="014852B3"/>
    <w:rsid w:val="03C06F23"/>
    <w:rsid w:val="08C96CD9"/>
    <w:rsid w:val="091A67D9"/>
    <w:rsid w:val="09A30044"/>
    <w:rsid w:val="0B13248D"/>
    <w:rsid w:val="0E356BBF"/>
    <w:rsid w:val="0FF17498"/>
    <w:rsid w:val="10D517BE"/>
    <w:rsid w:val="11E97BB4"/>
    <w:rsid w:val="122A5E32"/>
    <w:rsid w:val="18025D64"/>
    <w:rsid w:val="19033B41"/>
    <w:rsid w:val="1A6A7BF0"/>
    <w:rsid w:val="1BA6214E"/>
    <w:rsid w:val="1BEA0FE8"/>
    <w:rsid w:val="1CFE5BFB"/>
    <w:rsid w:val="1D556936"/>
    <w:rsid w:val="1E652BA8"/>
    <w:rsid w:val="1F5A0233"/>
    <w:rsid w:val="22B91715"/>
    <w:rsid w:val="247E419F"/>
    <w:rsid w:val="24FA0C9D"/>
    <w:rsid w:val="261F3F85"/>
    <w:rsid w:val="26395B91"/>
    <w:rsid w:val="273B6A6C"/>
    <w:rsid w:val="27565140"/>
    <w:rsid w:val="2A566E5D"/>
    <w:rsid w:val="2A7D5FE3"/>
    <w:rsid w:val="2AC1560A"/>
    <w:rsid w:val="2C5A1872"/>
    <w:rsid w:val="2D2F75E7"/>
    <w:rsid w:val="2D4F7D40"/>
    <w:rsid w:val="2DC93F8A"/>
    <w:rsid w:val="2E1E4B22"/>
    <w:rsid w:val="2EC94193"/>
    <w:rsid w:val="2FD06F3F"/>
    <w:rsid w:val="302C6F86"/>
    <w:rsid w:val="32E4458C"/>
    <w:rsid w:val="331C1F78"/>
    <w:rsid w:val="33291F9F"/>
    <w:rsid w:val="33A0349A"/>
    <w:rsid w:val="33BE4DDD"/>
    <w:rsid w:val="340255AC"/>
    <w:rsid w:val="34677222"/>
    <w:rsid w:val="371D62BE"/>
    <w:rsid w:val="3B1A3241"/>
    <w:rsid w:val="3D597924"/>
    <w:rsid w:val="3EF23B8C"/>
    <w:rsid w:val="41344930"/>
    <w:rsid w:val="43417AD7"/>
    <w:rsid w:val="4383394D"/>
    <w:rsid w:val="43B6787E"/>
    <w:rsid w:val="43CA157C"/>
    <w:rsid w:val="48BD345D"/>
    <w:rsid w:val="4A1D0657"/>
    <w:rsid w:val="4A7B35D0"/>
    <w:rsid w:val="4CAB3506"/>
    <w:rsid w:val="4D225F85"/>
    <w:rsid w:val="4FB07878"/>
    <w:rsid w:val="51E95B0E"/>
    <w:rsid w:val="528B0128"/>
    <w:rsid w:val="563F2742"/>
    <w:rsid w:val="5A461DEC"/>
    <w:rsid w:val="5AEB3BE5"/>
    <w:rsid w:val="5BDF731D"/>
    <w:rsid w:val="5DEC4152"/>
    <w:rsid w:val="5DF2088F"/>
    <w:rsid w:val="5E317FB6"/>
    <w:rsid w:val="5F546472"/>
    <w:rsid w:val="637C5F97"/>
    <w:rsid w:val="6549634D"/>
    <w:rsid w:val="65F52031"/>
    <w:rsid w:val="665C7CE7"/>
    <w:rsid w:val="66A43DCB"/>
    <w:rsid w:val="66A9675D"/>
    <w:rsid w:val="67802CA9"/>
    <w:rsid w:val="69821E2D"/>
    <w:rsid w:val="69E421A0"/>
    <w:rsid w:val="6A3A6264"/>
    <w:rsid w:val="6ABC2BB6"/>
    <w:rsid w:val="6C270A6A"/>
    <w:rsid w:val="6C611169"/>
    <w:rsid w:val="6D3E42BD"/>
    <w:rsid w:val="6D91263F"/>
    <w:rsid w:val="6E2C2368"/>
    <w:rsid w:val="6E6935BC"/>
    <w:rsid w:val="6EC2474D"/>
    <w:rsid w:val="6FD072A8"/>
    <w:rsid w:val="70ED2282"/>
    <w:rsid w:val="72701D1A"/>
    <w:rsid w:val="73412411"/>
    <w:rsid w:val="744128DD"/>
    <w:rsid w:val="747674B1"/>
    <w:rsid w:val="75606FBF"/>
    <w:rsid w:val="77304C77"/>
    <w:rsid w:val="77E537F1"/>
    <w:rsid w:val="78EE56C6"/>
    <w:rsid w:val="7AAF3581"/>
    <w:rsid w:val="7AD4000F"/>
    <w:rsid w:val="7C594C70"/>
    <w:rsid w:val="7D3B041C"/>
    <w:rsid w:val="7FAE0E2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jc w:val="both"/>
    </w:pPr>
    <w:rPr>
      <w:rFonts w:ascii="Times New Roman" w:hAnsi="Times New Roman" w:eastAsia="宋体" w:cs="Times New Roman"/>
      <w:sz w:val="24"/>
      <w:szCs w:val="24"/>
    </w:rPr>
  </w:style>
  <w:style w:type="paragraph" w:styleId="2">
    <w:name w:val="heading 1"/>
    <w:basedOn w:val="1"/>
    <w:next w:val="1"/>
    <w:qFormat/>
    <w:uiPriority w:val="0"/>
    <w:pPr>
      <w:spacing w:before="320" w:after="180" w:line="360" w:lineRule="auto"/>
      <w:outlineLvl w:val="0"/>
    </w:pPr>
    <w:rPr>
      <w:rFonts w:ascii="Times New Roman" w:hAnsi="Times New Roman" w:eastAsia="黑体"/>
      <w:b/>
      <w:sz w:val="32"/>
      <w:szCs w:val="32"/>
    </w:rPr>
  </w:style>
  <w:style w:type="paragraph" w:styleId="3">
    <w:name w:val="heading 2"/>
    <w:basedOn w:val="1"/>
    <w:next w:val="1"/>
    <w:qFormat/>
    <w:uiPriority w:val="0"/>
    <w:pPr>
      <w:spacing w:before="240" w:after="120" w:line="360" w:lineRule="auto"/>
      <w:outlineLvl w:val="1"/>
    </w:pPr>
    <w:rPr>
      <w:rFonts w:ascii="Times New Roman" w:hAnsi="Times New Roman" w:eastAsia="黑体"/>
      <w:b/>
      <w:sz w:val="28"/>
      <w:szCs w:val="28"/>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5">
    <w:name w:val="toc 3"/>
    <w:basedOn w:val="1"/>
    <w:next w:val="1"/>
    <w:uiPriority w:val="0"/>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0"/>
  </w:style>
  <w:style w:type="paragraph" w:styleId="9">
    <w:name w:val="toc 2"/>
    <w:basedOn w:val="1"/>
    <w:next w:val="1"/>
    <w:qFormat/>
    <w:uiPriority w:val="0"/>
    <w:pPr>
      <w:ind w:left="420" w:leftChars="200"/>
    </w:p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emf"/><Relationship Id="rId15" Type="http://schemas.openxmlformats.org/officeDocument/2006/relationships/package" Target="embeddings/Microsoft_Visio___1.vsdx"/><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18</Pages>
  <Words>7731</Words>
  <Characters>8521</Characters>
  <TotalTime>0</TotalTime>
  <ScaleCrop>false</ScaleCrop>
  <LinksUpToDate>false</LinksUpToDate>
  <CharactersWithSpaces>8705</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2026-09-02T02:54:00Z</dcterms:created>
  <dc:creator>60195</dc:creator>
  <cp:lastModifiedBy>Farewell</cp:lastModifiedBy>
  <dcterms:modified xsi:type="dcterms:W3CDTF">2026-09-04T05:27:15Z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eyJoZGlkIjoiOTMyNWU2NzUwYmI2NjdmZTI1OWZkMmE4ZTM2MmU2ZWEiLCJ1c2VySWQiOiIxMTI0NjU2ODYzIn0=</vt:lpwstr>
  </property>
  <property fmtid="{D5CDD505-2E9C-101B-9397-08002B2CF9AE}" pid="3" name="KSOProductBuildVer">
    <vt:lpwstr>2052-12.1.0.28505</vt:lpwstr>
  </property>
  <property fmtid="{D5CDD505-2E9C-101B-9397-08002B2CF9AE}" pid="4" name="ICV">
    <vt:lpwstr>57A17AC8843948F7B483DB9002561E0C_12</vt:lpwstr>
  </property>
</Properties>
</file>