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C7C00">
      <w:pPr>
        <w:spacing w:before="1600"/>
        <w:jc w:val="center"/>
      </w:pPr>
      <w:r>
        <w:rPr>
          <w:rFonts w:ascii="微软雅黑" w:hAnsi="微软雅黑" w:eastAsia="微软雅黑"/>
          <w:b/>
          <w:sz w:val="48"/>
        </w:rPr>
        <w:t>色彩工坊</w:t>
      </w:r>
    </w:p>
    <w:p w14:paraId="0C842F16">
      <w:pPr>
        <w:jc w:val="center"/>
      </w:pPr>
      <w:bookmarkStart w:id="19" w:name="_GoBack"/>
      <w:bookmarkEnd w:id="19"/>
      <w:r>
        <w:rPr>
          <w:rFonts w:ascii="微软雅黑" w:hAnsi="微软雅黑" w:eastAsia="微软雅黑"/>
          <w:b/>
          <w:sz w:val="44"/>
        </w:rPr>
        <w:t>使用说明书</w:t>
      </w:r>
    </w:p>
    <w:p w14:paraId="2696F5BD">
      <w:pPr>
        <w:spacing w:before="480"/>
        <w:jc w:val="center"/>
      </w:pPr>
      <w:r>
        <w:rPr>
          <w:rFonts w:ascii="微软雅黑" w:hAnsi="微软雅黑" w:eastAsia="微软雅黑"/>
          <w:b w:val="0"/>
          <w:sz w:val="24"/>
        </w:rPr>
        <w:t>适用对象：终端用户 / 测试人员 / 项目交付文档</w:t>
      </w:r>
    </w:p>
    <w:p w14:paraId="53F07FBD">
      <w:pPr>
        <w:jc w:val="center"/>
      </w:pPr>
      <w:r>
        <w:rPr>
          <w:rFonts w:ascii="微软雅黑" w:hAnsi="微软雅黑" w:eastAsia="微软雅黑"/>
          <w:b w:val="0"/>
          <w:sz w:val="24"/>
        </w:rPr>
        <w:t>生成日期：2026-03-10</w:t>
      </w:r>
    </w:p>
    <w:p w14:paraId="5403B40A">
      <w:r>
        <w:br w:type="page"/>
      </w:r>
    </w:p>
    <w:p w14:paraId="46135878">
      <w:pPr>
        <w:jc w:val="center"/>
      </w:pPr>
      <w:r>
        <w:rPr>
          <w:rFonts w:ascii="微软雅黑" w:hAnsi="微软雅黑" w:eastAsia="微软雅黑"/>
          <w:b/>
          <w:sz w:val="36"/>
        </w:rPr>
        <w:t>目录</w:t>
      </w:r>
    </w:p>
    <w:p w14:paraId="5BD7B4DA">
      <w:pPr>
        <w:tabs>
          <w:tab w:val="left" w:pos="289"/>
        </w:tabs>
        <w:jc w:val="left"/>
        <w:rPr>
          <w:rFonts w:ascii="微软雅黑" w:hAnsi="微软雅黑" w:eastAsia="微软雅黑" w:cstheme="minorBidi"/>
          <w:sz w:val="22"/>
          <w:szCs w:val="22"/>
          <w:lang w:val="en-US" w:eastAsia="en-US" w:bidi="ar-SA"/>
        </w:rPr>
      </w:pPr>
      <w:r>
        <w:rPr>
          <w:rFonts w:hint="eastAsia"/>
          <w:lang w:eastAsia="zh-CN"/>
        </w:rPr>
        <w:tab/>
      </w:r>
      <w:r>
        <w:fldChar w:fldCharType="begin"/>
      </w:r>
      <w:r>
        <w:instrText xml:space="preserve">TOC \o "1-2" \h \u</w:instrText>
      </w:r>
      <w:r>
        <w:fldChar w:fldCharType="separate"/>
      </w:r>
    </w:p>
    <w:p w14:paraId="609F6D2B">
      <w:pPr>
        <w:pStyle w:val="26"/>
        <w:tabs>
          <w:tab w:val="right" w:leader="dot" w:pos="9122"/>
        </w:tabs>
      </w:pPr>
      <w:r>
        <w:fldChar w:fldCharType="begin"/>
      </w:r>
      <w:r>
        <w:instrText xml:space="preserve"> HYPERLINK \l _Toc29860 </w:instrText>
      </w:r>
      <w:r>
        <w:fldChar w:fldCharType="separate"/>
      </w:r>
      <w:r>
        <w:rPr>
          <w:rFonts w:ascii="微软雅黑" w:hAnsi="微软雅黑" w:eastAsia="微软雅黑"/>
        </w:rPr>
        <w:t>一、引言</w:t>
      </w:r>
      <w:r>
        <w:tab/>
      </w:r>
      <w:r>
        <w:fldChar w:fldCharType="begin"/>
      </w:r>
      <w:r>
        <w:instrText xml:space="preserve"> PAGEREF _Toc29860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7E23D0F">
      <w:pPr>
        <w:pStyle w:val="29"/>
        <w:tabs>
          <w:tab w:val="right" w:leader="dot" w:pos="9122"/>
        </w:tabs>
      </w:pPr>
      <w:r>
        <w:fldChar w:fldCharType="begin"/>
      </w:r>
      <w:r>
        <w:instrText xml:space="preserve"> HYPERLINK \l _Toc5430 </w:instrText>
      </w:r>
      <w:r>
        <w:fldChar w:fldCharType="separate"/>
      </w:r>
      <w:r>
        <w:rPr>
          <w:rFonts w:ascii="微软雅黑" w:hAnsi="微软雅黑" w:eastAsia="微软雅黑"/>
        </w:rPr>
        <w:t>（一）编写目的</w:t>
      </w:r>
      <w:r>
        <w:tab/>
      </w:r>
      <w:r>
        <w:fldChar w:fldCharType="begin"/>
      </w:r>
      <w:r>
        <w:instrText xml:space="preserve"> PAGEREF _Toc5430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1D4C3FA">
      <w:pPr>
        <w:pStyle w:val="29"/>
        <w:tabs>
          <w:tab w:val="right" w:leader="dot" w:pos="9122"/>
        </w:tabs>
      </w:pPr>
      <w:r>
        <w:fldChar w:fldCharType="begin"/>
      </w:r>
      <w:r>
        <w:instrText xml:space="preserve"> HYPERLINK \l _Toc20880 </w:instrText>
      </w:r>
      <w:r>
        <w:fldChar w:fldCharType="separate"/>
      </w:r>
      <w:r>
        <w:rPr>
          <w:rFonts w:ascii="微软雅黑" w:hAnsi="微软雅黑" w:eastAsia="微软雅黑"/>
        </w:rPr>
        <w:t>（二）背景</w:t>
      </w:r>
      <w:r>
        <w:tab/>
      </w:r>
      <w:r>
        <w:fldChar w:fldCharType="begin"/>
      </w:r>
      <w:r>
        <w:instrText xml:space="preserve"> PAGEREF _Toc20880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75FB5E4">
      <w:pPr>
        <w:pStyle w:val="26"/>
        <w:tabs>
          <w:tab w:val="right" w:leader="dot" w:pos="9122"/>
        </w:tabs>
      </w:pPr>
      <w:r>
        <w:fldChar w:fldCharType="begin"/>
      </w:r>
      <w:r>
        <w:instrText xml:space="preserve"> HYPERLINK \l _Toc15942 </w:instrText>
      </w:r>
      <w:r>
        <w:fldChar w:fldCharType="separate"/>
      </w:r>
      <w:r>
        <w:rPr>
          <w:rFonts w:ascii="微软雅黑" w:hAnsi="微软雅黑" w:eastAsia="微软雅黑"/>
        </w:rPr>
        <w:t>二、用途</w:t>
      </w:r>
      <w:r>
        <w:tab/>
      </w:r>
      <w:r>
        <w:fldChar w:fldCharType="begin"/>
      </w:r>
      <w:r>
        <w:instrText xml:space="preserve"> PAGEREF _Toc15942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404AA3E">
      <w:pPr>
        <w:pStyle w:val="29"/>
        <w:tabs>
          <w:tab w:val="right" w:leader="dot" w:pos="9122"/>
        </w:tabs>
      </w:pPr>
      <w:r>
        <w:fldChar w:fldCharType="begin"/>
      </w:r>
      <w:r>
        <w:instrText xml:space="preserve"> HYPERLINK \l _Toc24323 </w:instrText>
      </w:r>
      <w:r>
        <w:fldChar w:fldCharType="separate"/>
      </w:r>
      <w:r>
        <w:rPr>
          <w:rFonts w:ascii="微软雅黑" w:hAnsi="微软雅黑" w:eastAsia="微软雅黑"/>
        </w:rPr>
        <w:t>（一）功能</w:t>
      </w:r>
      <w:r>
        <w:tab/>
      </w:r>
      <w:r>
        <w:fldChar w:fldCharType="begin"/>
      </w:r>
      <w:r>
        <w:instrText xml:space="preserve"> PAGEREF _Toc24323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0E3131E">
      <w:pPr>
        <w:pStyle w:val="29"/>
        <w:tabs>
          <w:tab w:val="right" w:leader="dot" w:pos="9122"/>
        </w:tabs>
      </w:pPr>
      <w:r>
        <w:fldChar w:fldCharType="begin"/>
      </w:r>
      <w:r>
        <w:instrText xml:space="preserve"> HYPERLINK \l _Toc9118 </w:instrText>
      </w:r>
      <w:r>
        <w:fldChar w:fldCharType="separate"/>
      </w:r>
      <w:r>
        <w:rPr>
          <w:rFonts w:ascii="微软雅黑" w:hAnsi="微软雅黑" w:eastAsia="微软雅黑"/>
        </w:rPr>
        <w:t>（二）性能特点</w:t>
      </w:r>
      <w:r>
        <w:tab/>
      </w:r>
      <w:r>
        <w:fldChar w:fldCharType="begin"/>
      </w:r>
      <w:r>
        <w:instrText xml:space="preserve"> PAGEREF _Toc9118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1E1AC80">
      <w:pPr>
        <w:pStyle w:val="26"/>
        <w:tabs>
          <w:tab w:val="right" w:leader="dot" w:pos="9122"/>
        </w:tabs>
      </w:pPr>
      <w:r>
        <w:fldChar w:fldCharType="begin"/>
      </w:r>
      <w:r>
        <w:instrText xml:space="preserve"> HYPERLINK \l _Toc3854 </w:instrText>
      </w:r>
      <w:r>
        <w:fldChar w:fldCharType="separate"/>
      </w:r>
      <w:r>
        <w:rPr>
          <w:rFonts w:ascii="微软雅黑" w:hAnsi="微软雅黑" w:eastAsia="微软雅黑"/>
        </w:rPr>
        <w:t>三、运行环境</w:t>
      </w:r>
      <w:r>
        <w:tab/>
      </w:r>
      <w:r>
        <w:fldChar w:fldCharType="begin"/>
      </w:r>
      <w:r>
        <w:instrText xml:space="preserve"> PAGEREF _Toc3854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0FB461F">
      <w:pPr>
        <w:pStyle w:val="29"/>
        <w:tabs>
          <w:tab w:val="right" w:leader="dot" w:pos="9122"/>
        </w:tabs>
      </w:pPr>
      <w:r>
        <w:fldChar w:fldCharType="begin"/>
      </w:r>
      <w:r>
        <w:instrText xml:space="preserve"> HYPERLINK \l _Toc22507 </w:instrText>
      </w:r>
      <w:r>
        <w:fldChar w:fldCharType="separate"/>
      </w:r>
      <w:r>
        <w:rPr>
          <w:rFonts w:ascii="微软雅黑" w:hAnsi="微软雅黑" w:eastAsia="微软雅黑"/>
        </w:rPr>
        <w:t>（一）硬件设备建议</w:t>
      </w:r>
      <w:r>
        <w:tab/>
      </w:r>
      <w:r>
        <w:fldChar w:fldCharType="begin"/>
      </w:r>
      <w:r>
        <w:instrText xml:space="preserve"> PAGEREF _Toc22507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722C241">
      <w:pPr>
        <w:pStyle w:val="29"/>
        <w:tabs>
          <w:tab w:val="right" w:leader="dot" w:pos="9122"/>
        </w:tabs>
      </w:pPr>
      <w:r>
        <w:fldChar w:fldCharType="begin"/>
      </w:r>
      <w:r>
        <w:instrText xml:space="preserve"> HYPERLINK \l _Toc30460 </w:instrText>
      </w:r>
      <w:r>
        <w:fldChar w:fldCharType="separate"/>
      </w:r>
      <w:r>
        <w:rPr>
          <w:rFonts w:ascii="微软雅黑" w:hAnsi="微软雅黑" w:eastAsia="微软雅黑"/>
        </w:rPr>
        <w:t>（二）支持软件</w:t>
      </w:r>
      <w:r>
        <w:tab/>
      </w:r>
      <w:r>
        <w:fldChar w:fldCharType="begin"/>
      </w:r>
      <w:r>
        <w:instrText xml:space="preserve"> PAGEREF _Toc30460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767EF33">
      <w:pPr>
        <w:pStyle w:val="26"/>
        <w:tabs>
          <w:tab w:val="right" w:leader="dot" w:pos="9122"/>
        </w:tabs>
      </w:pPr>
      <w:r>
        <w:fldChar w:fldCharType="begin"/>
      </w:r>
      <w:r>
        <w:instrText xml:space="preserve"> HYPERLINK \l _Toc6974 </w:instrText>
      </w:r>
      <w:r>
        <w:fldChar w:fldCharType="separate"/>
      </w:r>
      <w:r>
        <w:rPr>
          <w:rFonts w:ascii="微软雅黑" w:hAnsi="微软雅黑" w:eastAsia="微软雅黑"/>
        </w:rPr>
        <w:t>四、操作说明</w:t>
      </w:r>
      <w:r>
        <w:tab/>
      </w:r>
      <w:r>
        <w:fldChar w:fldCharType="begin"/>
      </w:r>
      <w:r>
        <w:instrText xml:space="preserve"> PAGEREF _Toc6974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C316518">
      <w:pPr>
        <w:pStyle w:val="29"/>
        <w:tabs>
          <w:tab w:val="right" w:leader="dot" w:pos="9122"/>
        </w:tabs>
      </w:pPr>
      <w:r>
        <w:fldChar w:fldCharType="begin"/>
      </w:r>
      <w:r>
        <w:instrText xml:space="preserve"> HYPERLINK \l _Toc7880 </w:instrText>
      </w:r>
      <w:r>
        <w:fldChar w:fldCharType="separate"/>
      </w:r>
      <w:r>
        <w:rPr>
          <w:rFonts w:ascii="微软雅黑" w:hAnsi="微软雅黑" w:eastAsia="微软雅黑"/>
        </w:rPr>
        <w:t>（一）PC 端应用安装与启动</w:t>
      </w:r>
      <w:r>
        <w:tab/>
      </w:r>
      <w:r>
        <w:fldChar w:fldCharType="begin"/>
      </w:r>
      <w:r>
        <w:instrText xml:space="preserve"> PAGEREF _Toc7880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B9E7AF3">
      <w:pPr>
        <w:pStyle w:val="29"/>
        <w:tabs>
          <w:tab w:val="right" w:leader="dot" w:pos="9122"/>
        </w:tabs>
      </w:pPr>
      <w:r>
        <w:fldChar w:fldCharType="begin"/>
      </w:r>
      <w:r>
        <w:instrText xml:space="preserve"> HYPERLINK \l _Toc9515 </w:instrText>
      </w:r>
      <w:r>
        <w:fldChar w:fldCharType="separate"/>
      </w:r>
      <w:r>
        <w:rPr>
          <w:rFonts w:ascii="微软雅黑" w:hAnsi="微软雅黑" w:eastAsia="微软雅黑"/>
        </w:rPr>
        <w:t>（二）首页与导航</w:t>
      </w:r>
      <w:r>
        <w:tab/>
      </w:r>
      <w:r>
        <w:fldChar w:fldCharType="begin"/>
      </w:r>
      <w:r>
        <w:instrText xml:space="preserve"> PAGEREF _Toc9515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7FE34DB">
      <w:pPr>
        <w:pStyle w:val="29"/>
        <w:tabs>
          <w:tab w:val="right" w:leader="dot" w:pos="9122"/>
        </w:tabs>
      </w:pPr>
      <w:r>
        <w:fldChar w:fldCharType="begin"/>
      </w:r>
      <w:r>
        <w:instrText xml:space="preserve"> HYPERLINK \l _Toc31023 </w:instrText>
      </w:r>
      <w:r>
        <w:fldChar w:fldCharType="separate"/>
      </w:r>
      <w:r>
        <w:rPr>
          <w:rFonts w:ascii="微软雅黑" w:hAnsi="微软雅黑" w:eastAsia="微软雅黑"/>
        </w:rPr>
        <w:t>（三）颜色拾取</w:t>
      </w:r>
      <w:r>
        <w:tab/>
      </w:r>
      <w:r>
        <w:fldChar w:fldCharType="begin"/>
      </w:r>
      <w:r>
        <w:instrText xml:space="preserve"> PAGEREF _Toc31023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CF8BE8D">
      <w:pPr>
        <w:pStyle w:val="29"/>
        <w:tabs>
          <w:tab w:val="right" w:leader="dot" w:pos="9122"/>
        </w:tabs>
      </w:pPr>
      <w:r>
        <w:fldChar w:fldCharType="begin"/>
      </w:r>
      <w:r>
        <w:instrText xml:space="preserve"> HYPERLINK \l _Toc14603 </w:instrText>
      </w:r>
      <w:r>
        <w:fldChar w:fldCharType="separate"/>
      </w:r>
      <w:r>
        <w:rPr>
          <w:rFonts w:ascii="微软雅黑" w:hAnsi="微软雅黑" w:eastAsia="微软雅黑"/>
        </w:rPr>
        <w:t>（四）颜色计算与处理</w:t>
      </w:r>
      <w:r>
        <w:tab/>
      </w:r>
      <w:r>
        <w:fldChar w:fldCharType="begin"/>
      </w:r>
      <w:r>
        <w:instrText xml:space="preserve"> PAGEREF _Toc14603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1210B88">
      <w:pPr>
        <w:pStyle w:val="29"/>
        <w:tabs>
          <w:tab w:val="right" w:leader="dot" w:pos="9122"/>
        </w:tabs>
      </w:pPr>
      <w:r>
        <w:fldChar w:fldCharType="begin"/>
      </w:r>
      <w:r>
        <w:instrText xml:space="preserve"> HYPERLINK \l _Toc12656 </w:instrText>
      </w:r>
      <w:r>
        <w:fldChar w:fldCharType="separate"/>
      </w:r>
      <w:r>
        <w:rPr>
          <w:rFonts w:ascii="微软雅黑" w:hAnsi="微软雅黑" w:eastAsia="微软雅黑"/>
        </w:rPr>
        <w:t>（五）颜色查询与参考</w:t>
      </w:r>
      <w:r>
        <w:tab/>
      </w:r>
      <w:r>
        <w:fldChar w:fldCharType="begin"/>
      </w:r>
      <w:r>
        <w:instrText xml:space="preserve"> PAGEREF _Toc12656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8F7A73B">
      <w:pPr>
        <w:pStyle w:val="29"/>
        <w:tabs>
          <w:tab w:val="right" w:leader="dot" w:pos="9122"/>
        </w:tabs>
      </w:pPr>
      <w:r>
        <w:fldChar w:fldCharType="begin"/>
      </w:r>
      <w:r>
        <w:instrText xml:space="preserve"> HYPERLINK \l _Toc7489 </w:instrText>
      </w:r>
      <w:r>
        <w:fldChar w:fldCharType="separate"/>
      </w:r>
      <w:r>
        <w:rPr>
          <w:rFonts w:ascii="微软雅黑" w:hAnsi="微软雅黑" w:eastAsia="微软雅黑"/>
        </w:rPr>
        <w:t>（六）传统色彩</w:t>
      </w:r>
      <w:r>
        <w:tab/>
      </w:r>
      <w:r>
        <w:fldChar w:fldCharType="begin"/>
      </w:r>
      <w:r>
        <w:instrText xml:space="preserve"> PAGEREF _Toc7489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2BF5E61">
      <w:pPr>
        <w:pStyle w:val="29"/>
        <w:tabs>
          <w:tab w:val="right" w:leader="dot" w:pos="9122"/>
        </w:tabs>
      </w:pPr>
      <w:r>
        <w:fldChar w:fldCharType="begin"/>
      </w:r>
      <w:r>
        <w:instrText xml:space="preserve"> HYPERLINK \l _Toc9214 </w:instrText>
      </w:r>
      <w:r>
        <w:fldChar w:fldCharType="separate"/>
      </w:r>
      <w:r>
        <w:rPr>
          <w:rFonts w:ascii="微软雅黑" w:hAnsi="微软雅黑" w:eastAsia="微软雅黑"/>
        </w:rPr>
        <w:t>（七）调色板管理</w:t>
      </w:r>
      <w:r>
        <w:tab/>
      </w:r>
      <w:r>
        <w:fldChar w:fldCharType="begin"/>
      </w:r>
      <w:r>
        <w:instrText xml:space="preserve"> PAGEREF _Toc9214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0AE3D0B">
      <w:pPr>
        <w:pStyle w:val="29"/>
        <w:tabs>
          <w:tab w:val="right" w:leader="dot" w:pos="9122"/>
        </w:tabs>
      </w:pPr>
      <w:r>
        <w:fldChar w:fldCharType="begin"/>
      </w:r>
      <w:r>
        <w:instrText xml:space="preserve"> HYPERLINK \l _Toc5549 </w:instrText>
      </w:r>
      <w:r>
        <w:fldChar w:fldCharType="separate"/>
      </w:r>
      <w:r>
        <w:rPr>
          <w:rFonts w:ascii="微软雅黑" w:hAnsi="微软雅黑" w:eastAsia="微软雅黑"/>
        </w:rPr>
        <w:t>（八）常用快捷键</w:t>
      </w:r>
      <w:r>
        <w:tab/>
      </w:r>
      <w:r>
        <w:fldChar w:fldCharType="begin"/>
      </w:r>
      <w:r>
        <w:instrText xml:space="preserve"> PAGEREF _Toc5549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36DE201">
      <w:pPr>
        <w:pStyle w:val="29"/>
        <w:tabs>
          <w:tab w:val="right" w:leader="dot" w:pos="9122"/>
        </w:tabs>
      </w:pPr>
      <w:r>
        <w:fldChar w:fldCharType="begin"/>
      </w:r>
      <w:r>
        <w:instrText xml:space="preserve"> HYPERLINK \l _Toc16800 </w:instrText>
      </w:r>
      <w:r>
        <w:fldChar w:fldCharType="separate"/>
      </w:r>
      <w:r>
        <w:rPr>
          <w:rFonts w:ascii="微软雅黑" w:hAnsi="微软雅黑" w:eastAsia="微软雅黑"/>
        </w:rPr>
        <w:t>（九）注意事项</w:t>
      </w:r>
      <w:r>
        <w:tab/>
      </w:r>
      <w:r>
        <w:fldChar w:fldCharType="begin"/>
      </w:r>
      <w:r>
        <w:instrText xml:space="preserve"> PAGEREF _Toc16800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ADAEE17">
      <w:pPr>
        <w:tabs>
          <w:tab w:val="left" w:pos="289"/>
        </w:tabs>
        <w:jc w:val="left"/>
      </w:pPr>
      <w:r>
        <w:fldChar w:fldCharType="end"/>
      </w:r>
    </w:p>
    <w:p w14:paraId="3D81A9A9">
      <w:r>
        <w:br w:type="page"/>
      </w:r>
    </w:p>
    <w:p w14:paraId="5B2C65A5">
      <w:pPr>
        <w:pStyle w:val="3"/>
        <w:spacing w:before="200" w:after="120" w:line="312" w:lineRule="auto"/>
      </w:pPr>
      <w:bookmarkStart w:id="0" w:name="_Toc29860"/>
      <w:r>
        <w:rPr>
          <w:rFonts w:ascii="微软雅黑" w:hAnsi="微软雅黑" w:eastAsia="微软雅黑"/>
          <w:b/>
          <w:sz w:val="32"/>
        </w:rPr>
        <w:t>一、引言</w:t>
      </w:r>
      <w:bookmarkEnd w:id="0"/>
    </w:p>
    <w:p w14:paraId="46DFBAAF">
      <w:pPr>
        <w:pStyle w:val="4"/>
        <w:spacing w:before="120" w:after="120" w:line="312" w:lineRule="auto"/>
      </w:pPr>
      <w:bookmarkStart w:id="1" w:name="_Toc5430"/>
      <w:r>
        <w:rPr>
          <w:rFonts w:ascii="微软雅黑" w:hAnsi="微软雅黑" w:eastAsia="微软雅黑"/>
          <w:b/>
          <w:sz w:val="26"/>
        </w:rPr>
        <w:t>（一）编写目的</w:t>
      </w:r>
      <w:bookmarkEnd w:id="1"/>
    </w:p>
    <w:p w14:paraId="124759E9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本说明书用于指导用户快速了解并使用“色彩工坊”桌面应用，使用户能够在无需额外培训的前提下完成颜色拾取、颜色转换、配色生成、传统色浏览、无障碍检查、调色板管理等常见操作。本文档既可用于项目交付，也可作为内部测试和日常使用参考。</w:t>
      </w:r>
    </w:p>
    <w:p w14:paraId="014A7D6E">
      <w:pPr>
        <w:pStyle w:val="4"/>
        <w:spacing w:before="120" w:after="120" w:line="312" w:lineRule="auto"/>
      </w:pPr>
      <w:bookmarkStart w:id="2" w:name="_Toc20880"/>
      <w:r>
        <w:rPr>
          <w:rFonts w:ascii="微软雅黑" w:hAnsi="微软雅黑" w:eastAsia="微软雅黑"/>
          <w:b/>
          <w:sz w:val="26"/>
        </w:rPr>
        <w:t>（二）背景</w:t>
      </w:r>
      <w:bookmarkEnd w:id="2"/>
    </w:p>
    <w:p w14:paraId="14448722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“色彩工坊”是当前项目对应的综合色彩工具桌面应用，采用 Electron、React 与 Vite 构建，主要面向设计、前端开发、UI 设计、印刷配色、内容制作等场景。应用将图片取色、屏幕取色、格式转换、渐变参考、传统色查询、色盲模拟、对比度检查和调色板管理整合在统一界面中，帮助用户提升用色效率与协作便利性。</w:t>
      </w:r>
    </w:p>
    <w:p w14:paraId="053D9072">
      <w:pPr>
        <w:pStyle w:val="3"/>
        <w:spacing w:before="200" w:after="120" w:line="312" w:lineRule="auto"/>
      </w:pPr>
      <w:bookmarkStart w:id="3" w:name="_Toc15942"/>
      <w:r>
        <w:rPr>
          <w:rFonts w:ascii="微软雅黑" w:hAnsi="微软雅黑" w:eastAsia="微软雅黑"/>
          <w:b/>
          <w:sz w:val="32"/>
        </w:rPr>
        <w:t>二、用途</w:t>
      </w:r>
      <w:bookmarkEnd w:id="3"/>
    </w:p>
    <w:p w14:paraId="18481B77">
      <w:pPr>
        <w:pStyle w:val="4"/>
        <w:spacing w:before="120" w:after="120" w:line="312" w:lineRule="auto"/>
      </w:pPr>
      <w:bookmarkStart w:id="4" w:name="_Toc24323"/>
      <w:r>
        <w:rPr>
          <w:rFonts w:ascii="微软雅黑" w:hAnsi="微软雅黑" w:eastAsia="微软雅黑"/>
          <w:b/>
          <w:sz w:val="26"/>
        </w:rPr>
        <w:t>（一）功能</w:t>
      </w:r>
      <w:bookmarkEnd w:id="4"/>
    </w:p>
    <w:p w14:paraId="108B14B5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本项目提供的主要功能如下：</w:t>
      </w:r>
    </w:p>
    <w:p w14:paraId="671141FE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颜色拾取：支持图片取色与屏幕取色，输出 HEX、RGB 等结果，并保留最近取色记录。</w:t>
      </w:r>
    </w:p>
    <w:p w14:paraId="0E88A6F0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颜色计算与处理：支持彩图转黑白、单色转灰度、颜色混合、中间色生成、相反色计算、对比度检查和色盲模拟。</w:t>
      </w:r>
    </w:p>
    <w:p w14:paraId="04C9F2E1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颜色查询与参考：支持 HEX / RGB / HSL / HSV / CMYK 等常见色值转换，提供高级颜色选择器、渐变色集合、Web 安全色、RGB 与 CMYK 参考表。</w:t>
      </w:r>
    </w:p>
    <w:p w14:paraId="6A18389D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传统色彩浏览：支持中国传统色与日本传统色查看，并可直接复制色值。</w:t>
      </w:r>
    </w:p>
    <w:p w14:paraId="41A08A25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调色板管理：支持新建色板、重命名、添加/删除颜色、导入/导出 JSON 文件以及导出全部色板。</w:t>
      </w:r>
    </w:p>
    <w:p w14:paraId="38448E2B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通用能力：支持多语言界面、主题切换、快捷键跳转、反馈入口及更新检查等辅助功能。</w:t>
      </w:r>
    </w:p>
    <w:p w14:paraId="35FE4435">
      <w:pPr>
        <w:pStyle w:val="4"/>
        <w:spacing w:before="120" w:after="120" w:line="312" w:lineRule="auto"/>
      </w:pPr>
      <w:bookmarkStart w:id="5" w:name="_Toc9118"/>
      <w:r>
        <w:rPr>
          <w:rFonts w:ascii="微软雅黑" w:hAnsi="微软雅黑" w:eastAsia="微软雅黑"/>
          <w:b/>
          <w:sz w:val="26"/>
        </w:rPr>
        <w:t>（二）性能特点</w:t>
      </w:r>
      <w:bookmarkEnd w:id="5"/>
    </w:p>
    <w:p w14:paraId="0D14B7E9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本项目的大部分颜色计算和色值转换在本地实时完成，适合频繁试色、快速查询与日常设计辅助使用。图片处理速度会随着图片尺寸、像素数量和设备性能变化而有所差异。桌面端支持全局快捷键调起常用模块，可进一步提高操作效率。界面同时支持浅色、深色及跟随系统模式，并提供多语言能力，便于不同使用环境下的访问。</w:t>
      </w:r>
    </w:p>
    <w:p w14:paraId="7C184713">
      <w:pPr>
        <w:pStyle w:val="3"/>
        <w:spacing w:before="200" w:after="120" w:line="312" w:lineRule="auto"/>
      </w:pPr>
      <w:bookmarkStart w:id="6" w:name="_Toc3854"/>
      <w:r>
        <w:rPr>
          <w:rFonts w:ascii="微软雅黑" w:hAnsi="微软雅黑" w:eastAsia="微软雅黑"/>
          <w:b/>
          <w:sz w:val="32"/>
        </w:rPr>
        <w:t>三、运行环境</w:t>
      </w:r>
      <w:bookmarkEnd w:id="6"/>
    </w:p>
    <w:p w14:paraId="7E5F11CC">
      <w:pPr>
        <w:pStyle w:val="4"/>
        <w:spacing w:before="120" w:after="120" w:line="312" w:lineRule="auto"/>
      </w:pPr>
      <w:bookmarkStart w:id="7" w:name="_Toc22507"/>
      <w:r>
        <w:rPr>
          <w:rFonts w:ascii="微软雅黑" w:hAnsi="微软雅黑" w:eastAsia="微软雅黑"/>
          <w:b/>
          <w:sz w:val="26"/>
        </w:rPr>
        <w:t>（一）硬件设备建议</w:t>
      </w:r>
      <w:bookmarkEnd w:id="7"/>
    </w:p>
    <w:p w14:paraId="019B76FE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为获得较好的使用体验，建议采用如下硬件配置：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2CF98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449E0466"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项目</w:t>
            </w:r>
          </w:p>
        </w:tc>
        <w:tc>
          <w:tcPr>
            <w:tcW w:w="4561" w:type="dxa"/>
            <w:vAlign w:val="center"/>
          </w:tcPr>
          <w:p w14:paraId="4C15B763"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建议配置</w:t>
            </w:r>
          </w:p>
        </w:tc>
      </w:tr>
      <w:tr w14:paraId="7257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4AFFE4EC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CPU</w:t>
            </w:r>
          </w:p>
        </w:tc>
        <w:tc>
          <w:tcPr>
            <w:tcW w:w="4561" w:type="dxa"/>
            <w:vAlign w:val="center"/>
          </w:tcPr>
          <w:p w14:paraId="4C1C5DBB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双核及以上处理器</w:t>
            </w:r>
          </w:p>
        </w:tc>
      </w:tr>
      <w:tr w14:paraId="0FF80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693C9EEC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内存</w:t>
            </w:r>
          </w:p>
        </w:tc>
        <w:tc>
          <w:tcPr>
            <w:tcW w:w="4561" w:type="dxa"/>
            <w:vAlign w:val="center"/>
          </w:tcPr>
          <w:p w14:paraId="3CB42F59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4GB 及以上，建议 8GB</w:t>
            </w:r>
          </w:p>
        </w:tc>
      </w:tr>
      <w:tr w14:paraId="33D5E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1EDF87CA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存储空间</w:t>
            </w:r>
          </w:p>
        </w:tc>
        <w:tc>
          <w:tcPr>
            <w:tcW w:w="4561" w:type="dxa"/>
            <w:vAlign w:val="center"/>
          </w:tcPr>
          <w:p w14:paraId="2077411C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预留 500MB 及以上可用空间</w:t>
            </w:r>
          </w:p>
        </w:tc>
      </w:tr>
      <w:tr w14:paraId="37D68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630A37DD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显示分辨率</w:t>
            </w:r>
          </w:p>
        </w:tc>
        <w:tc>
          <w:tcPr>
            <w:tcW w:w="4561" w:type="dxa"/>
            <w:vAlign w:val="center"/>
          </w:tcPr>
          <w:p w14:paraId="51EBD4B0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建议 1366 × 768 及以上；应用最小窗口为 1024 × 768</w:t>
            </w:r>
          </w:p>
        </w:tc>
      </w:tr>
    </w:tbl>
    <w:p w14:paraId="216E3D6C"/>
    <w:p w14:paraId="6774ACDD">
      <w:pPr>
        <w:pStyle w:val="4"/>
        <w:spacing w:before="120" w:after="120" w:line="312" w:lineRule="auto"/>
      </w:pPr>
      <w:bookmarkStart w:id="8" w:name="_Toc30460"/>
      <w:r>
        <w:rPr>
          <w:rFonts w:ascii="微软雅黑" w:hAnsi="微软雅黑" w:eastAsia="微软雅黑"/>
          <w:b/>
          <w:sz w:val="26"/>
        </w:rPr>
        <w:t>（二）支持软件</w:t>
      </w:r>
      <w:bookmarkEnd w:id="8"/>
    </w:p>
    <w:p w14:paraId="32EC241E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当前项目的桌面端打包目标以 Windows 平台为主，推荐在 Windows 10 或 Windows 11 环境下使用。对于安装包用户，无需额外安装开发依赖即可直接运行。对于源码运行或测试场景，需要预先安装 Node.js 与 npm，然后通过项目命令启动开发环境。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6C590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06772CC4"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场景</w:t>
            </w:r>
          </w:p>
        </w:tc>
        <w:tc>
          <w:tcPr>
            <w:tcW w:w="4561" w:type="dxa"/>
            <w:vAlign w:val="center"/>
          </w:tcPr>
          <w:p w14:paraId="66FFA013"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 w14:paraId="414A6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3B70300C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安装包使用</w:t>
            </w:r>
          </w:p>
        </w:tc>
        <w:tc>
          <w:tcPr>
            <w:tcW w:w="4561" w:type="dxa"/>
            <w:vAlign w:val="center"/>
          </w:tcPr>
          <w:p w14:paraId="1AE2376D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双击安装程序或便携版可执行文件即可运行</w:t>
            </w:r>
          </w:p>
        </w:tc>
      </w:tr>
      <w:tr w14:paraId="0D254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577C8C71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源码开发</w:t>
            </w:r>
          </w:p>
        </w:tc>
        <w:tc>
          <w:tcPr>
            <w:tcW w:w="4561" w:type="dxa"/>
            <w:vAlign w:val="center"/>
          </w:tcPr>
          <w:p w14:paraId="79FF4C5A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执行 npm install 安装依赖，再按需运行开发命令</w:t>
            </w:r>
          </w:p>
        </w:tc>
      </w:tr>
      <w:tr w14:paraId="0D70E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24BEF1BA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前端开发端口</w:t>
            </w:r>
          </w:p>
        </w:tc>
        <w:tc>
          <w:tcPr>
            <w:tcW w:w="4561" w:type="dxa"/>
            <w:vAlign w:val="center"/>
          </w:tcPr>
          <w:p w14:paraId="6735B2E7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Vite 默认端口为 5177</w:t>
            </w:r>
          </w:p>
        </w:tc>
      </w:tr>
      <w:tr w14:paraId="5B21C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464720D3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桌面端打包</w:t>
            </w:r>
          </w:p>
        </w:tc>
        <w:tc>
          <w:tcPr>
            <w:tcW w:w="4561" w:type="dxa"/>
            <w:vAlign w:val="center"/>
          </w:tcPr>
          <w:p w14:paraId="7B65BED9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可生成 Windows 安装包、ZIP 压缩包及解包目录</w:t>
            </w:r>
          </w:p>
        </w:tc>
      </w:tr>
    </w:tbl>
    <w:p w14:paraId="240309E7"/>
    <w:p w14:paraId="1EEED2C7">
      <w:pPr>
        <w:pStyle w:val="3"/>
        <w:spacing w:before="200" w:after="120" w:line="312" w:lineRule="auto"/>
      </w:pPr>
      <w:bookmarkStart w:id="9" w:name="_Toc6974"/>
      <w:r>
        <w:rPr>
          <w:rFonts w:ascii="微软雅黑" w:hAnsi="微软雅黑" w:eastAsia="微软雅黑"/>
          <w:b/>
          <w:sz w:val="32"/>
        </w:rPr>
        <w:t>四、操作说明</w:t>
      </w:r>
      <w:bookmarkEnd w:id="9"/>
    </w:p>
    <w:p w14:paraId="74024AA0">
      <w:pPr>
        <w:pStyle w:val="4"/>
        <w:spacing w:before="120" w:after="120" w:line="312" w:lineRule="auto"/>
      </w:pPr>
      <w:bookmarkStart w:id="10" w:name="_Toc7880"/>
      <w:r>
        <w:rPr>
          <w:rFonts w:ascii="微软雅黑" w:hAnsi="微软雅黑" w:eastAsia="微软雅黑"/>
          <w:b/>
          <w:sz w:val="26"/>
        </w:rPr>
        <w:t>（一）PC 端应用安装与启动</w:t>
      </w:r>
      <w:bookmarkEnd w:id="10"/>
    </w:p>
    <w:p w14:paraId="52D0699D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如使用安装包版本，用户可双击安装程序，根据安装向导完成安装，并通过桌面快捷方式或开始菜单启动“色彩工坊”。如使用便携版，则可在解压后直接运行主程序。首次进入应用后，建议先确认界面语言、主题模式及常用功能位置。</w:t>
      </w:r>
    </w:p>
    <w:p w14:paraId="4BC1E091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如当前为项目内部测试或源码运行场景，可按以下方式启动：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34798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71196B76"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步骤</w:t>
            </w:r>
          </w:p>
        </w:tc>
        <w:tc>
          <w:tcPr>
            <w:tcW w:w="4561" w:type="dxa"/>
            <w:vAlign w:val="center"/>
          </w:tcPr>
          <w:p w14:paraId="7035B80F"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命令 / 操作</w:t>
            </w:r>
          </w:p>
        </w:tc>
      </w:tr>
      <w:tr w14:paraId="57966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12FB3193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w="4561" w:type="dxa"/>
            <w:vAlign w:val="center"/>
          </w:tcPr>
          <w:p w14:paraId="4682E953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执行 npm install 安装项目依赖</w:t>
            </w:r>
          </w:p>
        </w:tc>
      </w:tr>
      <w:tr w14:paraId="0813C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22440141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w="4561" w:type="dxa"/>
            <w:vAlign w:val="center"/>
          </w:tcPr>
          <w:p w14:paraId="76924415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执行 npm run electron:dev 启动桌面开发模式</w:t>
            </w:r>
          </w:p>
        </w:tc>
      </w:tr>
      <w:tr w14:paraId="449E0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10795010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w="4561" w:type="dxa"/>
            <w:vAlign w:val="center"/>
          </w:tcPr>
          <w:p w14:paraId="27B20A66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如仅需前端页面调试，可执行 npm run dev</w:t>
            </w:r>
          </w:p>
        </w:tc>
      </w:tr>
      <w:tr w14:paraId="3B6B5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0B2DA015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w="4561" w:type="dxa"/>
            <w:vAlign w:val="center"/>
          </w:tcPr>
          <w:p w14:paraId="5BC7D94D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如需构建静态资源，可执行 npm run build</w:t>
            </w:r>
          </w:p>
        </w:tc>
      </w:tr>
      <w:tr w14:paraId="35727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3E73E80D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  <w:tc>
          <w:tcPr>
            <w:tcW w:w="4561" w:type="dxa"/>
            <w:vAlign w:val="center"/>
          </w:tcPr>
          <w:p w14:paraId="0B3E44D0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如需生成桌面安装包，可执行 npm run electron:build</w:t>
            </w:r>
          </w:p>
        </w:tc>
      </w:tr>
    </w:tbl>
    <w:p w14:paraId="39816715"/>
    <w:p w14:paraId="43210D2D">
      <w:pPr>
        <w:pStyle w:val="4"/>
        <w:spacing w:before="120" w:after="120" w:line="312" w:lineRule="auto"/>
      </w:pPr>
      <w:bookmarkStart w:id="11" w:name="_Toc9515"/>
      <w:r>
        <w:rPr>
          <w:rFonts w:ascii="微软雅黑" w:hAnsi="微软雅黑" w:eastAsia="微软雅黑"/>
          <w:b/>
          <w:sz w:val="26"/>
        </w:rPr>
        <w:t>（二）首页与导航</w:t>
      </w:r>
      <w:bookmarkEnd w:id="11"/>
    </w:p>
    <w:p w14:paraId="7886ADAD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应用首页用于展示主要能力入口。当前项目按照模块分为首页、颜色拾取、计算处理、颜色查询、传统色彩等主导航区域。用户可通过左侧或顶部导航进入对应页面，页面之间切换时会保留统一的界面风格与操作反馈。</w:t>
      </w:r>
    </w:p>
    <w:p w14:paraId="470AB26C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顶部区域通常提供语言切换、主题切换、用户入口或辅助功能入口。用户在使用过程中可根据需要切换界面语言，并在浅色、深色或跟随系统模式之间选择合适的显示风格。</w:t>
      </w:r>
    </w:p>
    <w:p w14:paraId="2443C4C7">
      <w:pPr>
        <w:jc w:val="center"/>
      </w:pPr>
      <w:r>
        <w:drawing>
          <wp:inline distT="0" distB="0" distL="114300" distR="114300">
            <wp:extent cx="5579745" cy="2690495"/>
            <wp:effectExtent l="0" t="0" r="190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4E34">
      <w:pPr>
        <w:spacing w:after="120"/>
        <w:jc w:val="center"/>
      </w:pPr>
      <w:r>
        <w:rPr>
          <w:rFonts w:ascii="微软雅黑" w:hAnsi="微软雅黑" w:eastAsia="微软雅黑"/>
          <w:b w:val="0"/>
          <w:sz w:val="21"/>
        </w:rPr>
        <w:t>图 1 首页总览</w:t>
      </w:r>
    </w:p>
    <w:p w14:paraId="76EF3A16">
      <w:pPr>
        <w:pStyle w:val="4"/>
        <w:spacing w:before="120" w:after="120" w:line="312" w:lineRule="auto"/>
      </w:pPr>
      <w:bookmarkStart w:id="12" w:name="_Toc31023"/>
      <w:r>
        <w:rPr>
          <w:rFonts w:ascii="微软雅黑" w:hAnsi="微软雅黑" w:eastAsia="微软雅黑"/>
          <w:b/>
          <w:sz w:val="26"/>
        </w:rPr>
        <w:t>（三）颜色拾取</w:t>
      </w:r>
      <w:bookmarkEnd w:id="12"/>
    </w:p>
    <w:p w14:paraId="73927DE1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1. 图片取色：进入“颜色拾取”中的“图片取色”页面，上传待分析图片后，在预览区域点击任意像素位置即可获取对应颜色。系统会显示当前颜色的 HEX 与 RGB 结果，用户可一键复制所需色值，并查看最近取色历史。</w:t>
      </w:r>
    </w:p>
    <w:p w14:paraId="1777E5D8">
      <w:pPr>
        <w:jc w:val="center"/>
      </w:pPr>
      <w:r>
        <w:drawing>
          <wp:inline distT="0" distB="0" distL="114300" distR="114300">
            <wp:extent cx="5579745" cy="2690495"/>
            <wp:effectExtent l="0" t="0" r="190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FE0D">
      <w:pPr>
        <w:spacing w:after="120"/>
        <w:jc w:val="center"/>
      </w:pPr>
      <w:r>
        <w:rPr>
          <w:rFonts w:ascii="微软雅黑" w:hAnsi="微软雅黑" w:eastAsia="微软雅黑"/>
          <w:b w:val="0"/>
          <w:sz w:val="21"/>
        </w:rPr>
        <w:t>图 2 图片取色</w:t>
      </w:r>
    </w:p>
    <w:p w14:paraId="326523C2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2. 屏幕取色：进入“颜色拾取”中的“屏幕取色”页面，点击开始取色后，在屏幕上选择目标颜色即可获得结果。用户也可以使用快捷键直接跳转到该模块。若当前运行环境不支持相关取色能力，系统会给出不可用提示。</w:t>
      </w:r>
    </w:p>
    <w:p w14:paraId="060939B0">
      <w:pPr>
        <w:jc w:val="center"/>
      </w:pPr>
      <w:r>
        <w:drawing>
          <wp:inline distT="0" distB="0" distL="114300" distR="114300">
            <wp:extent cx="5579745" cy="2690495"/>
            <wp:effectExtent l="0" t="0" r="190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B0E0">
      <w:pPr>
        <w:spacing w:after="120"/>
        <w:jc w:val="center"/>
      </w:pPr>
      <w:r>
        <w:rPr>
          <w:rFonts w:ascii="微软雅黑" w:hAnsi="微软雅黑" w:eastAsia="微软雅黑"/>
          <w:b w:val="0"/>
          <w:sz w:val="21"/>
        </w:rPr>
        <w:t>图 3 屏幕取色</w:t>
      </w:r>
    </w:p>
    <w:p w14:paraId="27F65B0D">
      <w:pPr>
        <w:pStyle w:val="4"/>
        <w:spacing w:before="120" w:after="120" w:line="312" w:lineRule="auto"/>
      </w:pPr>
      <w:bookmarkStart w:id="13" w:name="_Toc14603"/>
      <w:r>
        <w:rPr>
          <w:rFonts w:ascii="微软雅黑" w:hAnsi="微软雅黑" w:eastAsia="微软雅黑"/>
          <w:b/>
          <w:sz w:val="26"/>
        </w:rPr>
        <w:t>（四）颜色计算与处理</w:t>
      </w:r>
      <w:bookmarkEnd w:id="13"/>
    </w:p>
    <w:p w14:paraId="7E90A3E4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“计算处理”模块主要用于颜色运算和图像辅助处理，包含以下能力：</w:t>
      </w:r>
    </w:p>
    <w:p w14:paraId="11878BC0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彩图转黑白：上传图片后，系统会根据亮度算法生成黑白结果，并支持导出 PNG 文件。</w:t>
      </w:r>
    </w:p>
    <w:p w14:paraId="3938F597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单色转灰度：输入指定颜色后，系统可自动输出其灰度结果。</w:t>
      </w:r>
    </w:p>
    <w:p w14:paraId="53AC2CA2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颜色混合：分别选择两种颜色并设置比例，系统会计算混合后的色值。</w:t>
      </w:r>
    </w:p>
    <w:p w14:paraId="3E17E485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中间色生成：输入起始颜色和结束颜色后，可生成一组连续过渡色。</w:t>
      </w:r>
    </w:p>
    <w:p w14:paraId="3535D15D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对比度检查：输入前景色与背景色后，可查看对比度数值及是否满足 WCAG AA / AAA 参考要求。</w:t>
      </w:r>
    </w:p>
    <w:p w14:paraId="53CDE6FA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相反色计算：输入一个颜色后，系统可给出其互补或相反色结果。</w:t>
      </w:r>
    </w:p>
    <w:p w14:paraId="12D38043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色盲模拟：支持对单色或图片进行色盲显示效果模拟，辅助验证颜色可识别性。</w:t>
      </w:r>
    </w:p>
    <w:p w14:paraId="68217611">
      <w:pPr>
        <w:jc w:val="center"/>
      </w:pPr>
      <w:r>
        <w:drawing>
          <wp:inline distT="0" distB="0" distL="114300" distR="114300">
            <wp:extent cx="5579745" cy="2690495"/>
            <wp:effectExtent l="0" t="0" r="190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DF5F">
      <w:pPr>
        <w:spacing w:after="120"/>
        <w:jc w:val="center"/>
      </w:pPr>
      <w:r>
        <w:rPr>
          <w:rFonts w:ascii="微软雅黑" w:hAnsi="微软雅黑" w:eastAsia="微软雅黑"/>
          <w:b w:val="0"/>
          <w:sz w:val="21"/>
        </w:rPr>
        <w:t>图 4 彩图转黑白</w:t>
      </w:r>
    </w:p>
    <w:p w14:paraId="37843880">
      <w:pPr>
        <w:jc w:val="center"/>
      </w:pPr>
      <w:r>
        <w:drawing>
          <wp:inline distT="0" distB="0" distL="114300" distR="114300">
            <wp:extent cx="5579745" cy="2690495"/>
            <wp:effectExtent l="0" t="0" r="190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39C3">
      <w:pPr>
        <w:spacing w:after="120"/>
        <w:jc w:val="center"/>
      </w:pPr>
      <w:r>
        <w:rPr>
          <w:rFonts w:ascii="微软雅黑" w:hAnsi="微软雅黑" w:eastAsia="微软雅黑"/>
          <w:b w:val="0"/>
          <w:sz w:val="21"/>
        </w:rPr>
        <w:t>图 5 颜色混合</w:t>
      </w:r>
    </w:p>
    <w:p w14:paraId="0DCCF69C">
      <w:pPr>
        <w:jc w:val="center"/>
      </w:pPr>
      <w:r>
        <w:drawing>
          <wp:inline distT="0" distB="0" distL="114300" distR="114300">
            <wp:extent cx="5579745" cy="2690495"/>
            <wp:effectExtent l="0" t="0" r="1905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2263">
      <w:pPr>
        <w:spacing w:after="120"/>
        <w:jc w:val="center"/>
      </w:pPr>
      <w:r>
        <w:rPr>
          <w:rFonts w:ascii="微软雅黑" w:hAnsi="微软雅黑" w:eastAsia="微软雅黑"/>
          <w:b w:val="0"/>
          <w:sz w:val="21"/>
        </w:rPr>
        <w:t>图 6 中间色生成</w:t>
      </w:r>
    </w:p>
    <w:p w14:paraId="7E50CB5B">
      <w:pPr>
        <w:jc w:val="center"/>
      </w:pPr>
      <w:r>
        <w:drawing>
          <wp:inline distT="0" distB="0" distL="114300" distR="114300">
            <wp:extent cx="5579745" cy="2690495"/>
            <wp:effectExtent l="0" t="0" r="1905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6ADB">
      <w:pPr>
        <w:spacing w:after="120"/>
        <w:jc w:val="center"/>
      </w:pPr>
      <w:r>
        <w:rPr>
          <w:rFonts w:ascii="微软雅黑" w:hAnsi="微软雅黑" w:eastAsia="微软雅黑"/>
          <w:b w:val="0"/>
          <w:sz w:val="21"/>
        </w:rPr>
        <w:t>图 7 对比度检查</w:t>
      </w:r>
    </w:p>
    <w:p w14:paraId="358A4CA2">
      <w:pPr>
        <w:jc w:val="center"/>
      </w:pPr>
      <w:r>
        <w:drawing>
          <wp:inline distT="0" distB="0" distL="114300" distR="114300">
            <wp:extent cx="5579745" cy="2690495"/>
            <wp:effectExtent l="0" t="0" r="1905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455C">
      <w:pPr>
        <w:spacing w:after="120"/>
        <w:jc w:val="center"/>
      </w:pPr>
      <w:r>
        <w:rPr>
          <w:rFonts w:ascii="微软雅黑" w:hAnsi="微软雅黑" w:eastAsia="微软雅黑"/>
          <w:b w:val="0"/>
          <w:sz w:val="21"/>
        </w:rPr>
        <w:t>图 8 色盲模拟</w:t>
      </w:r>
    </w:p>
    <w:p w14:paraId="1CB977E4">
      <w:pPr>
        <w:pStyle w:val="4"/>
        <w:spacing w:before="120" w:after="120" w:line="312" w:lineRule="auto"/>
      </w:pPr>
      <w:bookmarkStart w:id="14" w:name="_Toc12656"/>
      <w:r>
        <w:rPr>
          <w:rFonts w:ascii="微软雅黑" w:hAnsi="微软雅黑" w:eastAsia="微软雅黑"/>
          <w:b/>
          <w:sz w:val="26"/>
        </w:rPr>
        <w:t>（五）颜色查询与参考</w:t>
      </w:r>
      <w:bookmarkEnd w:id="14"/>
    </w:p>
    <w:p w14:paraId="1D809288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“颜色查询”模块用于完成色值换算、参考查找和快速取用，主要操作方式如下：</w:t>
      </w:r>
    </w:p>
    <w:p w14:paraId="2B110576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颜色格式转换：输入任意常见色值后，可查看对应的 HEX、RGB、HSL、HSV、CMYK 及名称等结果。</w:t>
      </w:r>
    </w:p>
    <w:p w14:paraId="6F439312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高级颜色选择器：通过可视化选色区域调整色相、亮度、透明度等参数，并实时查看计算结果。</w:t>
      </w:r>
    </w:p>
    <w:p w14:paraId="05EB9FC3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渐变色大全：浏览预设渐变方案，复制 CSS 渐变代码或单个色值。</w:t>
      </w:r>
    </w:p>
    <w:p w14:paraId="071A9246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Web 安全色：查看常用 Web Safe Colors 并快速复制色值。</w:t>
      </w:r>
    </w:p>
    <w:p w14:paraId="4B53A959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RGB / CMYK 参考表：通过列表或搜索方式查询颜色对照关系，用于设计与印刷参考。</w:t>
      </w:r>
    </w:p>
    <w:p w14:paraId="1C3C14C9">
      <w:pPr>
        <w:jc w:val="center"/>
      </w:pPr>
      <w:r>
        <w:drawing>
          <wp:inline distT="0" distB="0" distL="114300" distR="114300">
            <wp:extent cx="5579745" cy="2690495"/>
            <wp:effectExtent l="0" t="0" r="1905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E716">
      <w:pPr>
        <w:spacing w:after="120"/>
        <w:jc w:val="center"/>
      </w:pPr>
      <w:r>
        <w:rPr>
          <w:rFonts w:ascii="微软雅黑" w:hAnsi="微软雅黑" w:eastAsia="微软雅黑"/>
          <w:b w:val="0"/>
          <w:sz w:val="21"/>
        </w:rPr>
        <w:t>图 9 颜色格式转换</w:t>
      </w:r>
    </w:p>
    <w:p w14:paraId="0CB18165">
      <w:pPr>
        <w:pStyle w:val="4"/>
        <w:spacing w:before="120" w:after="120" w:line="312" w:lineRule="auto"/>
      </w:pPr>
      <w:bookmarkStart w:id="15" w:name="_Toc7489"/>
      <w:r>
        <w:rPr>
          <w:rFonts w:ascii="微软雅黑" w:hAnsi="微软雅黑" w:eastAsia="微软雅黑"/>
          <w:b/>
          <w:sz w:val="26"/>
        </w:rPr>
        <w:t>（六）传统色彩</w:t>
      </w:r>
      <w:bookmarkEnd w:id="15"/>
    </w:p>
    <w:p w14:paraId="7F310FBB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“传统色彩”模块提供中国传统色和日本传统色浏览能力。用户可按照分类查看传统色名称、色值与视觉效果，并可点击相应颜色进行复制，用于文化主题设计、包装配色、品牌创意或内容灵感参考。</w:t>
      </w:r>
    </w:p>
    <w:p w14:paraId="116AC114">
      <w:pPr>
        <w:pStyle w:val="4"/>
        <w:spacing w:before="120" w:after="120" w:line="312" w:lineRule="auto"/>
      </w:pPr>
      <w:bookmarkStart w:id="16" w:name="_Toc9214"/>
      <w:r>
        <w:rPr>
          <w:rFonts w:ascii="微软雅黑" w:hAnsi="微软雅黑" w:eastAsia="微软雅黑"/>
          <w:b/>
          <w:sz w:val="26"/>
        </w:rPr>
        <w:t>（七）调色板管理</w:t>
      </w:r>
      <w:bookmarkEnd w:id="16"/>
    </w:p>
    <w:p w14:paraId="3F373494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“调色板管理”模块用于沉淀和复用个人或项目常用颜色。用户可新建色板、修改色板名称、向色板中添加颜色、删除不需要的颜色，并将当前最近拾取颜色快速加入指定色板。</w:t>
      </w:r>
    </w:p>
    <w:p w14:paraId="5E966626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系统支持导入和导出 JSON 格式的色板文件，便于本地备份、项目协作或在不同设备之间迁移。若需要统一归档，也可使用导出全部功能一次性保存全部色板数据。</w:t>
      </w:r>
    </w:p>
    <w:p w14:paraId="658A970E">
      <w:pPr>
        <w:pStyle w:val="4"/>
        <w:spacing w:before="120" w:after="120" w:line="312" w:lineRule="auto"/>
      </w:pPr>
      <w:bookmarkStart w:id="17" w:name="_Toc5549"/>
      <w:r>
        <w:rPr>
          <w:rFonts w:ascii="微软雅黑" w:hAnsi="微软雅黑" w:eastAsia="微软雅黑"/>
          <w:b/>
          <w:sz w:val="26"/>
        </w:rPr>
        <w:t>（八）常用快捷键</w:t>
      </w:r>
      <w:bookmarkEnd w:id="17"/>
    </w:p>
    <w:p w14:paraId="57AA644B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桌面端已预置若干全局快捷键，便于快速打开常用模块：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66EB0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12497882"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快捷键</w:t>
            </w:r>
          </w:p>
        </w:tc>
        <w:tc>
          <w:tcPr>
            <w:tcW w:w="4561" w:type="dxa"/>
            <w:vAlign w:val="center"/>
          </w:tcPr>
          <w:p w14:paraId="7BFFDE3F">
            <w:pPr>
              <w:spacing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</w:tr>
      <w:tr w14:paraId="69E30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706E5860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Ctrl + Shift + C</w:t>
            </w:r>
          </w:p>
        </w:tc>
        <w:tc>
          <w:tcPr>
            <w:tcW w:w="4561" w:type="dxa"/>
            <w:vAlign w:val="center"/>
          </w:tcPr>
          <w:p w14:paraId="24CAE67F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打开屏幕取色页面</w:t>
            </w:r>
          </w:p>
        </w:tc>
      </w:tr>
      <w:tr w14:paraId="68739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6E26ECD0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Ctrl + Shift + R</w:t>
            </w:r>
          </w:p>
        </w:tc>
        <w:tc>
          <w:tcPr>
            <w:tcW w:w="4561" w:type="dxa"/>
            <w:vAlign w:val="center"/>
          </w:tcPr>
          <w:p w14:paraId="5ACAC2C6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打开色盲模拟页面</w:t>
            </w:r>
          </w:p>
        </w:tc>
      </w:tr>
      <w:tr w14:paraId="6B75B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06107A0F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Ctrl + Shift + P</w:t>
            </w:r>
          </w:p>
        </w:tc>
        <w:tc>
          <w:tcPr>
            <w:tcW w:w="4561" w:type="dxa"/>
            <w:vAlign w:val="center"/>
          </w:tcPr>
          <w:p w14:paraId="637CB94A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打开调色板管理页面</w:t>
            </w:r>
          </w:p>
        </w:tc>
      </w:tr>
      <w:tr w14:paraId="6A1C0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vAlign w:val="center"/>
          </w:tcPr>
          <w:p w14:paraId="465A29CB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Ctrl + Shift + Q</w:t>
            </w:r>
          </w:p>
        </w:tc>
        <w:tc>
          <w:tcPr>
            <w:tcW w:w="4561" w:type="dxa"/>
            <w:vAlign w:val="center"/>
          </w:tcPr>
          <w:p w14:paraId="50E6111C">
            <w:pPr>
              <w:spacing w:after="0" w:line="30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显示或最小化应用窗口</w:t>
            </w:r>
          </w:p>
        </w:tc>
      </w:tr>
    </w:tbl>
    <w:p w14:paraId="732FC1A0"/>
    <w:p w14:paraId="254EFDC5">
      <w:pPr>
        <w:pStyle w:val="4"/>
        <w:spacing w:before="120" w:after="120" w:line="312" w:lineRule="auto"/>
      </w:pPr>
      <w:bookmarkStart w:id="18" w:name="_Toc16800"/>
      <w:r>
        <w:rPr>
          <w:rFonts w:ascii="微软雅黑" w:hAnsi="微软雅黑" w:eastAsia="微软雅黑"/>
          <w:b/>
          <w:sz w:val="26"/>
        </w:rPr>
        <w:t>（九）注意事项</w:t>
      </w:r>
      <w:bookmarkEnd w:id="18"/>
    </w:p>
    <w:p w14:paraId="5D788600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屏幕取色能力依赖当前运行环境支持情况；若环境不支持相应接口，则该功能可能无法使用。</w:t>
      </w:r>
    </w:p>
    <w:p w14:paraId="1E2FEC76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调色板数据默认保存在本地环境中，导入导出文件是备份和共享的主要方式，并非云端同步。</w:t>
      </w:r>
    </w:p>
    <w:p w14:paraId="6CF634C2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登录、反馈、检查更新等依赖网络的功能在离线环境下可能受到影响，但大多数本地色彩工具仍可继续使用。</w:t>
      </w:r>
    </w:p>
    <w:p w14:paraId="2EB71FB8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自动更新更适用于正式打包版本；在开发环境中，更新检查通常不会作为主要使用场景。</w:t>
      </w:r>
    </w:p>
    <w:p w14:paraId="57446B85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当图片分辨率较高或文件体积较大时，图片处理速度可能下降，建议根据设备性能选择合适素材。</w:t>
      </w:r>
    </w:p>
    <w:p w14:paraId="71DE6C1D">
      <w:pPr>
        <w:pStyle w:val="16"/>
        <w:spacing w:line="336" w:lineRule="auto"/>
      </w:pPr>
      <w:r>
        <w:rPr>
          <w:rFonts w:ascii="微软雅黑" w:hAnsi="微软雅黑" w:eastAsia="微软雅黑"/>
          <w:b w:val="0"/>
          <w:sz w:val="22"/>
        </w:rPr>
        <w:t>当前项目以 Windows 桌面端为主要交付方向，其他操作系统的运行方式需另行评估。</w:t>
      </w:r>
    </w:p>
    <w:p w14:paraId="2B1DAD49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本说明书可随项目功能演进持续更新。如后续新增模块、调整菜单结构或变更打包方式，建议同步修订本手册内容，以确保交付文档与实际产品保持一致。</w:t>
      </w:r>
    </w:p>
    <w:sectPr>
      <w:pgSz w:w="12240" w:h="15840"/>
      <w:pgMar w:top="1440" w:right="1417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段宁行书天工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段宁行书天工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段宁行书天工体">
    <w:panose1 w:val="02000500000000000000"/>
    <w:charset w:val="80"/>
    <w:family w:val="auto"/>
    <w:pitch w:val="default"/>
    <w:sig w:usb0="80000043" w:usb1="0841045A" w:usb2="0000000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FD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1433</Words>
  <Characters>1607</Characters>
  <Lines>0</Lines>
  <Paragraphs>0</Paragraphs>
  <TotalTime>0</TotalTime>
  <ScaleCrop>false</ScaleCrop>
  <LinksUpToDate>false</LinksUpToDate>
  <CharactersWithSpaces>1685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Cursor AI Assistant</dc:creator>
  <dc:description>基于项目实际功能生成</dc:description>
  <cp:lastModifiedBy>北城南笙</cp:lastModifiedBy>
  <dcterms:modified xsi:type="dcterms:W3CDTF">2026-03-10T10:58:17Z</dcterms:modified>
  <dc:subject>Color Tools 用户使用说明</dc:subject>
  <dc:title>色彩工坊使用说明书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eyJoZGlkIjoiMTgzYWFmNzk2ZmNkZmFjY2UxNjU3YmYxZjE2MzI1MWMiLCJ1c2VySWQiOiIxNDEyMTUxNjU1In0=</vt:lpwstr>
  </property>
  <property fmtid="{D5CDD505-2E9C-101B-9397-08002B2CF9AE}" pid="3" name="KSOProductBuildVer">
    <vt:lpwstr>2052-12.1.0.25225</vt:lpwstr>
  </property>
  <property fmtid="{D5CDD505-2E9C-101B-9397-08002B2CF9AE}" pid="4" name="ICV">
    <vt:lpwstr>5A8E360C466748C4B8254CC53C717E9A_12</vt:lpwstr>
  </property>
</Properties>
</file>