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E5D6" w14:textId="7655296B" w:rsidR="00B938F5" w:rsidRPr="00C63B77" w:rsidRDefault="00000000">
      <w:pPr>
        <w:rPr>
          <w:color w:val="000000" w:themeColor="text1"/>
        </w:rPr>
      </w:pPr>
      <w:r w:rsidRPr="00C63B77">
        <w:rPr>
          <w:b/>
          <w:color w:val="000000" w:themeColor="text1"/>
          <w:sz w:val="44"/>
        </w:rPr>
        <w:t xml:space="preserve">SETU: Network </w:t>
      </w:r>
      <w:r w:rsidR="00C63B77">
        <w:rPr>
          <w:b/>
          <w:color w:val="000000" w:themeColor="text1"/>
          <w:sz w:val="44"/>
        </w:rPr>
        <w:t>Analytics Engine</w:t>
      </w:r>
    </w:p>
    <w:p w14:paraId="09D722F4" w14:textId="77777777" w:rsidR="00B938F5" w:rsidRPr="00C63B77" w:rsidRDefault="00000000">
      <w:pPr>
        <w:rPr>
          <w:color w:val="000000" w:themeColor="text1"/>
        </w:rPr>
      </w:pPr>
      <w:r w:rsidRPr="00C63B77">
        <w:rPr>
          <w:i/>
          <w:color w:val="000000" w:themeColor="text1"/>
          <w:sz w:val="24"/>
        </w:rPr>
        <w:t>An End-to-End NLP Topology System for Non-Linear Entity Extraction, Canonical Normalization, and Modularity-Based Community Profiling</w:t>
      </w:r>
    </w:p>
    <w:p w14:paraId="1A4D3978" w14:textId="7EAC1850" w:rsidR="00F60761" w:rsidRDefault="00000000" w:rsidP="00F60761">
      <w:pPr>
        <w:pStyle w:val="NoSpacing"/>
      </w:pPr>
      <w:r w:rsidRPr="00C63B77">
        <w:rPr>
          <w:b/>
        </w:rPr>
        <w:t xml:space="preserve">Core Architecture: </w:t>
      </w:r>
      <w:r w:rsidRPr="00C63B77">
        <w:t xml:space="preserve">Data </w:t>
      </w:r>
      <w:r w:rsidR="0094124D">
        <w:t>Extraction</w:t>
      </w:r>
      <w:r w:rsidRPr="00C63B77">
        <w:t xml:space="preserve"> Engine (Setu-engine) &amp; </w:t>
      </w:r>
      <w:r w:rsidR="0094124D">
        <w:t xml:space="preserve">Raw Corpus and </w:t>
      </w:r>
      <w:r w:rsidRPr="00C63B77">
        <w:t>Relational Graph Asset Storage (Setu-dataset)</w:t>
      </w:r>
      <w:r w:rsidRPr="00C63B77">
        <w:br/>
      </w:r>
      <w:r w:rsidRPr="00C63B77">
        <w:rPr>
          <w:b/>
        </w:rPr>
        <w:t xml:space="preserve">Developer: </w:t>
      </w:r>
      <w:r w:rsidR="00801E83" w:rsidRPr="00C63B77">
        <w:t>Ram Mishra</w:t>
      </w:r>
      <w:r w:rsidRPr="00C63B77">
        <w:br/>
      </w:r>
      <w:r w:rsidRPr="00C63B77">
        <w:rPr>
          <w:b/>
        </w:rPr>
        <w:t xml:space="preserve">Compilation Timeline: </w:t>
      </w:r>
      <w:r w:rsidRPr="00C63B77">
        <w:t>May 2026</w:t>
      </w:r>
    </w:p>
    <w:p w14:paraId="7BD9748A" w14:textId="44F70235" w:rsidR="00F60761" w:rsidRDefault="00F60761" w:rsidP="00F60761">
      <w:pPr>
        <w:pStyle w:val="NoSpacing"/>
      </w:pPr>
      <w:r>
        <w:rPr>
          <w:b/>
          <w:bCs/>
        </w:rPr>
        <w:t xml:space="preserve">Repository links: </w:t>
      </w:r>
      <w:r>
        <w:t>Setu-Engine:</w:t>
      </w:r>
      <w:r w:rsidRPr="00F60761">
        <w:t xml:space="preserve"> </w:t>
      </w:r>
      <w:hyperlink r:id="rId6" w:history="1">
        <w:r w:rsidRPr="004E33F5">
          <w:rPr>
            <w:rStyle w:val="Hyperlink"/>
          </w:rPr>
          <w:t>https://github.com/AppleDinger/Setu-engine</w:t>
        </w:r>
      </w:hyperlink>
    </w:p>
    <w:p w14:paraId="2F6D2208" w14:textId="645A01E7" w:rsidR="00F60761" w:rsidRDefault="00F60761" w:rsidP="00F60761">
      <w:pPr>
        <w:pStyle w:val="NoSpacing"/>
      </w:pPr>
      <w:r>
        <w:tab/>
      </w:r>
      <w:r>
        <w:tab/>
        <w:t xml:space="preserve">       Setu-Dataset: </w:t>
      </w:r>
      <w:hyperlink r:id="rId7" w:history="1">
        <w:r w:rsidRPr="004E33F5">
          <w:rPr>
            <w:rStyle w:val="Hyperlink"/>
          </w:rPr>
          <w:t>https://github.com/AppleD</w:t>
        </w:r>
        <w:r w:rsidRPr="004E33F5">
          <w:rPr>
            <w:rStyle w:val="Hyperlink"/>
          </w:rPr>
          <w:t>i</w:t>
        </w:r>
        <w:r w:rsidRPr="004E33F5">
          <w:rPr>
            <w:rStyle w:val="Hyperlink"/>
          </w:rPr>
          <w:t>nger/</w:t>
        </w:r>
        <w:r w:rsidRPr="004E33F5">
          <w:rPr>
            <w:rStyle w:val="Hyperlink"/>
          </w:rPr>
          <w:t>S</w:t>
        </w:r>
        <w:r w:rsidRPr="004E33F5">
          <w:rPr>
            <w:rStyle w:val="Hyperlink"/>
          </w:rPr>
          <w:t>etu-</w:t>
        </w:r>
        <w:r w:rsidRPr="004E33F5">
          <w:rPr>
            <w:rStyle w:val="Hyperlink"/>
          </w:rPr>
          <w:t>dataset</w:t>
        </w:r>
      </w:hyperlink>
    </w:p>
    <w:p w14:paraId="1D64A6CF" w14:textId="7048AEF7" w:rsidR="00B938F5" w:rsidRPr="00C63B77" w:rsidRDefault="00000000" w:rsidP="00F60761">
      <w:pPr>
        <w:pStyle w:val="NoSpacing"/>
      </w:pPr>
      <w:r w:rsidRPr="00C63B77">
        <w:br/>
      </w:r>
    </w:p>
    <w:p w14:paraId="39602792" w14:textId="77777777" w:rsidR="00B938F5" w:rsidRPr="00C63B77" w:rsidRDefault="00B938F5">
      <w:pPr>
        <w:pBdr>
          <w:bottom w:val="single" w:sz="12" w:space="0" w:color="4682B4"/>
        </w:pBdr>
        <w:rPr>
          <w:color w:val="000000" w:themeColor="text1"/>
        </w:rPr>
      </w:pPr>
    </w:p>
    <w:p w14:paraId="38DAD3BF" w14:textId="77777777" w:rsidR="00B938F5" w:rsidRPr="00C63B77" w:rsidRDefault="00000000">
      <w:pPr>
        <w:keepNext/>
        <w:spacing w:before="320" w:after="240"/>
        <w:rPr>
          <w:color w:val="000000" w:themeColor="text1"/>
        </w:rPr>
      </w:pPr>
      <w:r w:rsidRPr="00C63B77">
        <w:rPr>
          <w:b/>
          <w:color w:val="000000" w:themeColor="text1"/>
          <w:sz w:val="30"/>
        </w:rPr>
        <w:t>PART I: CORE SOFTWARE ENGINEERING &amp; PIPELINE ARCHITECTURE</w:t>
      </w:r>
    </w:p>
    <w:p w14:paraId="3DFA19B5" w14:textId="77777777" w:rsidR="00B938F5" w:rsidRPr="00C63B77" w:rsidRDefault="00000000">
      <w:pPr>
        <w:rPr>
          <w:color w:val="000000" w:themeColor="text1"/>
        </w:rPr>
      </w:pPr>
      <w:r w:rsidRPr="00C63B77">
        <w:rPr>
          <w:color w:val="000000" w:themeColor="text1"/>
        </w:rPr>
        <w:t>The SETU Engine is a high-throughput, production-grade text mining and network analytics platform engineered to transform large-scale, unstructured natural language text into multi-dimensional, weighted graph representations. The system architecture uses a decoupled structure, separating the computational extraction pipelines (Setu-engine) from the underlying text data assets and tabular output metrics (Setu-dataset). This configuration ensures the platform remains scale-invariant, allowing developer teams to interchange backend entity models, tracking dictionaries, and target text repositories without creating breaking code dependencies.</w:t>
      </w:r>
    </w:p>
    <w:p w14:paraId="3EB90DFE" w14:textId="77777777" w:rsidR="00B938F5" w:rsidRPr="00C63B77" w:rsidRDefault="00000000">
      <w:pPr>
        <w:keepNext/>
        <w:spacing w:before="240" w:after="120"/>
        <w:rPr>
          <w:color w:val="000000" w:themeColor="text1"/>
        </w:rPr>
      </w:pPr>
      <w:r w:rsidRPr="00C63B77">
        <w:rPr>
          <w:b/>
          <w:color w:val="000000" w:themeColor="text1"/>
          <w:sz w:val="25"/>
        </w:rPr>
        <w:t>1. Production Features and Technical Capabilities</w:t>
      </w:r>
    </w:p>
    <w:p w14:paraId="5C5AAFEC" w14:textId="77777777" w:rsidR="00B938F5" w:rsidRPr="00C63B77" w:rsidRDefault="00000000">
      <w:pPr>
        <w:pStyle w:val="ListBullet"/>
        <w:rPr>
          <w:color w:val="000000" w:themeColor="text1"/>
        </w:rPr>
      </w:pPr>
      <w:r w:rsidRPr="00C63B77">
        <w:rPr>
          <w:b/>
          <w:color w:val="000000" w:themeColor="text1"/>
        </w:rPr>
        <w:t xml:space="preserve">GPU-Accelerated Core NLP Processing: </w:t>
      </w:r>
      <w:r w:rsidRPr="00C63B77">
        <w:rPr>
          <w:color w:val="000000" w:themeColor="text1"/>
        </w:rPr>
        <w:t>Utilizes an optimized spaCy processing pipeline integrated with PyTorch CUDA hooks to execute fast text mining passes on an NVIDIA RTX 4060 GPU with a target batch size of 2,000 windows.</w:t>
      </w:r>
    </w:p>
    <w:p w14:paraId="1E1BEB18" w14:textId="77777777" w:rsidR="00B938F5" w:rsidRPr="00C63B77" w:rsidRDefault="00000000">
      <w:pPr>
        <w:pStyle w:val="ListBullet"/>
        <w:rPr>
          <w:color w:val="000000" w:themeColor="text1"/>
        </w:rPr>
      </w:pPr>
      <w:r w:rsidRPr="00C63B77">
        <w:rPr>
          <w:b/>
          <w:color w:val="000000" w:themeColor="text1"/>
        </w:rPr>
        <w:t xml:space="preserve">Deterministic Entity Resolution Framework: </w:t>
      </w:r>
      <w:r w:rsidRPr="00C63B77">
        <w:rPr>
          <w:color w:val="000000" w:themeColor="text1"/>
        </w:rPr>
        <w:t>Employs an injection layer using an EntityRuler component to map raw variant text spellings and alias profiles into single, canonical node IDs, resolving duplicate entry fragmentation.</w:t>
      </w:r>
    </w:p>
    <w:p w14:paraId="3016C2F3" w14:textId="77777777" w:rsidR="00B938F5" w:rsidRPr="00C63B77" w:rsidRDefault="00000000">
      <w:pPr>
        <w:pStyle w:val="ListBullet"/>
        <w:rPr>
          <w:color w:val="000000" w:themeColor="text1"/>
        </w:rPr>
      </w:pPr>
      <w:r w:rsidRPr="00C63B77">
        <w:rPr>
          <w:b/>
          <w:color w:val="000000" w:themeColor="text1"/>
        </w:rPr>
        <w:t xml:space="preserve">Tumbling Window Co-occurrence Matrix Generator: </w:t>
      </w:r>
      <w:r w:rsidRPr="00C63B77">
        <w:rPr>
          <w:color w:val="000000" w:themeColor="text1"/>
        </w:rPr>
        <w:t>Implements a sliding text window framework that sweeps across unstructured character strings to extract entity associations based on proximity, avoiding false connections across text boundaries.</w:t>
      </w:r>
    </w:p>
    <w:p w14:paraId="7441A5D6" w14:textId="77777777" w:rsidR="00B938F5" w:rsidRPr="00C63B77" w:rsidRDefault="00000000">
      <w:pPr>
        <w:pStyle w:val="ListBullet"/>
        <w:rPr>
          <w:color w:val="000000" w:themeColor="text1"/>
        </w:rPr>
      </w:pPr>
      <w:r w:rsidRPr="00C63B77">
        <w:rPr>
          <w:b/>
          <w:color w:val="000000" w:themeColor="text1"/>
        </w:rPr>
        <w:t xml:space="preserve">Localized Topological Optimization (Pruning): </w:t>
      </w:r>
      <w:r w:rsidRPr="00C63B77">
        <w:rPr>
          <w:color w:val="000000" w:themeColor="text1"/>
        </w:rPr>
        <w:t>Uses a degree constraint algorithm via Pandas to prune line noise by capping relationships to the strongest connections per node, keeping the output highly readable.</w:t>
      </w:r>
    </w:p>
    <w:p w14:paraId="77D9F8BA" w14:textId="77777777" w:rsidR="00801E83" w:rsidRDefault="00801E83" w:rsidP="00801E83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1305C9A9" w14:textId="77777777" w:rsidR="0094124D" w:rsidRDefault="0094124D" w:rsidP="00801E83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4AB24616" w14:textId="77777777" w:rsidR="0094124D" w:rsidRDefault="0094124D" w:rsidP="00801E83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537700D1" w14:textId="77777777" w:rsidR="0094124D" w:rsidRPr="00C63B77" w:rsidRDefault="0094124D" w:rsidP="00801E83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1584007A" w14:textId="77777777" w:rsidR="00B938F5" w:rsidRPr="00C63B77" w:rsidRDefault="00000000">
      <w:pPr>
        <w:keepNext/>
        <w:spacing w:before="240" w:after="120"/>
        <w:rPr>
          <w:color w:val="000000" w:themeColor="text1"/>
        </w:rPr>
      </w:pPr>
      <w:r w:rsidRPr="00C63B77">
        <w:rPr>
          <w:b/>
          <w:color w:val="000000" w:themeColor="text1"/>
          <w:sz w:val="25"/>
        </w:rPr>
        <w:lastRenderedPageBreak/>
        <w:t>2. Algorithmic Pipeline and Data Mechanics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991"/>
        <w:gridCol w:w="2991"/>
        <w:gridCol w:w="2991"/>
      </w:tblGrid>
      <w:tr w:rsidR="00B938F5" w:rsidRPr="00C63B77" w14:paraId="0166F180" w14:textId="77777777" w:rsidTr="00C63B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2F402" w14:textId="77777777" w:rsidR="00B938F5" w:rsidRPr="00C63B77" w:rsidRDefault="00000000">
            <w:pPr>
              <w:rPr>
                <w:color w:val="000000" w:themeColor="text1"/>
                <w:sz w:val="24"/>
                <w:szCs w:val="28"/>
              </w:rPr>
            </w:pPr>
            <w:r w:rsidRPr="00C63B77">
              <w:rPr>
                <w:color w:val="000000" w:themeColor="text1"/>
                <w:sz w:val="24"/>
                <w:szCs w:val="28"/>
              </w:rPr>
              <w:t>Pipeline Stage</w:t>
            </w:r>
          </w:p>
        </w:tc>
        <w:tc>
          <w:tcPr>
            <w:tcW w:w="2991" w:type="dxa"/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7A03B" w14:textId="77777777" w:rsidR="00B938F5" w:rsidRPr="00C63B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8"/>
              </w:rPr>
            </w:pPr>
            <w:r w:rsidRPr="00C63B77">
              <w:rPr>
                <w:color w:val="000000" w:themeColor="text1"/>
                <w:sz w:val="24"/>
                <w:szCs w:val="28"/>
              </w:rPr>
              <w:t>Algorithmic Implementation</w:t>
            </w:r>
          </w:p>
        </w:tc>
        <w:tc>
          <w:tcPr>
            <w:tcW w:w="2991" w:type="dxa"/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AD76B" w14:textId="77777777" w:rsidR="00B938F5" w:rsidRPr="00C63B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8"/>
              </w:rPr>
            </w:pPr>
            <w:r w:rsidRPr="00C63B77">
              <w:rPr>
                <w:color w:val="000000" w:themeColor="text1"/>
                <w:sz w:val="24"/>
                <w:szCs w:val="28"/>
              </w:rPr>
              <w:t>Data State Output</w:t>
            </w:r>
          </w:p>
        </w:tc>
      </w:tr>
      <w:tr w:rsidR="00B938F5" w:rsidRPr="00C63B77" w14:paraId="208C555A" w14:textId="77777777" w:rsidTr="00C63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75DE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1. Preprocessing &amp; Cache Ingestion</w:t>
            </w:r>
          </w:p>
        </w:tc>
        <w:tc>
          <w:tcPr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B299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Regex sweeps clear verse markers and metadata noise before combining texts using strict double-newline syntax.</w:t>
            </w:r>
          </w:p>
        </w:tc>
        <w:tc>
          <w:tcPr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5A91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Merged Master Text String Cache</w:t>
            </w:r>
          </w:p>
        </w:tc>
      </w:tr>
      <w:tr w:rsidR="00B938F5" w:rsidRPr="00C63B77" w14:paraId="361F8FAD" w14:textId="77777777" w:rsidTr="00C63B77">
        <w:trPr>
          <w:trHeight w:val="7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2E05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2. Relationship Extraction Matrix</w:t>
            </w:r>
          </w:p>
        </w:tc>
        <w:tc>
          <w:tcPr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44DD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Sliding window extraction runs via spacy.pipe with multi-threading. Co-occurring nodes compile inside a sorted tuple schema.</w:t>
            </w:r>
          </w:p>
        </w:tc>
        <w:tc>
          <w:tcPr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C453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Raw Pandas Co-occurrence DataFrame</w:t>
            </w:r>
          </w:p>
        </w:tc>
      </w:tr>
      <w:tr w:rsidR="00B938F5" w:rsidRPr="00C63B77" w14:paraId="2A13F818" w14:textId="77777777" w:rsidTr="00C63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AC7F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3. Network Topology Engineering</w:t>
            </w:r>
          </w:p>
        </w:tc>
        <w:tc>
          <w:tcPr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7D5F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Computes centrality vectors via NetworkX, using Louvain community detection to isolate distinct structural clusters.</w:t>
            </w:r>
          </w:p>
        </w:tc>
        <w:tc>
          <w:tcPr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7B75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Centrality Metrics &amp; Modularity Indices</w:t>
            </w:r>
          </w:p>
        </w:tc>
      </w:tr>
      <w:tr w:rsidR="00B938F5" w:rsidRPr="00C63B77" w14:paraId="6AF55C30" w14:textId="77777777" w:rsidTr="00C63B77">
        <w:trPr>
          <w:trHeight w:val="3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7A39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4. Relational Asset Export</w:t>
            </w:r>
          </w:p>
        </w:tc>
        <w:tc>
          <w:tcPr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BDD1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Saves separate tables for nodes and edges, using Gephi's preferred case-sensitive schemas to ensure fast data imports.</w:t>
            </w:r>
          </w:p>
        </w:tc>
        <w:tc>
          <w:tcPr>
            <w:tcW w:w="29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BDFC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Valid CSV Tables &amp; Comprehensive GEXF Maps</w:t>
            </w:r>
          </w:p>
        </w:tc>
      </w:tr>
    </w:tbl>
    <w:p w14:paraId="5499100D" w14:textId="77777777" w:rsidR="00801E83" w:rsidRPr="00C63B77" w:rsidRDefault="00801E83">
      <w:pPr>
        <w:keepNext/>
        <w:spacing w:before="320" w:after="240"/>
        <w:rPr>
          <w:b/>
          <w:color w:val="000000" w:themeColor="text1"/>
          <w:sz w:val="30"/>
        </w:rPr>
      </w:pPr>
    </w:p>
    <w:p w14:paraId="61DE9000" w14:textId="60D68906" w:rsidR="00B938F5" w:rsidRPr="00C63B77" w:rsidRDefault="00000000">
      <w:pPr>
        <w:keepNext/>
        <w:spacing w:before="320" w:after="240"/>
        <w:rPr>
          <w:color w:val="000000" w:themeColor="text1"/>
        </w:rPr>
      </w:pPr>
      <w:r w:rsidRPr="00C63B77">
        <w:rPr>
          <w:b/>
          <w:color w:val="000000" w:themeColor="text1"/>
          <w:sz w:val="30"/>
        </w:rPr>
        <w:t>PART II: SYSTEM CASE STUDY (INDIC VS. ABRAHAMIC TEXTS)</w:t>
      </w:r>
    </w:p>
    <w:p w14:paraId="324745DD" w14:textId="77777777" w:rsidR="00B938F5" w:rsidRDefault="00000000">
      <w:pPr>
        <w:rPr>
          <w:color w:val="000000" w:themeColor="text1"/>
        </w:rPr>
      </w:pPr>
      <w:r w:rsidRPr="00C63B77">
        <w:rPr>
          <w:color w:val="000000" w:themeColor="text1"/>
        </w:rPr>
        <w:t>To validate the engine's data extraction and graph structural profiling capabilities, a macro-cultural study was executed across fourteen foundational historical texts, split into Indic and Abrahamic repositories. The analysis measures how different socio-cultural traditions organize narrative networks, identifying structural differences in centralization profiles, community splitting, and topological distance metrics.</w:t>
      </w:r>
    </w:p>
    <w:p w14:paraId="293400C0" w14:textId="77777777" w:rsidR="00C63B77" w:rsidRDefault="00C63B77">
      <w:pPr>
        <w:rPr>
          <w:color w:val="000000" w:themeColor="text1"/>
        </w:rPr>
      </w:pPr>
    </w:p>
    <w:p w14:paraId="647C77DA" w14:textId="77777777" w:rsidR="00C63B77" w:rsidRDefault="00C63B77">
      <w:pPr>
        <w:rPr>
          <w:color w:val="000000" w:themeColor="text1"/>
        </w:rPr>
      </w:pPr>
    </w:p>
    <w:p w14:paraId="1ABB7177" w14:textId="77777777" w:rsidR="00C63B77" w:rsidRDefault="00C63B77">
      <w:pPr>
        <w:rPr>
          <w:color w:val="000000" w:themeColor="text1"/>
        </w:rPr>
      </w:pPr>
    </w:p>
    <w:p w14:paraId="7946F264" w14:textId="77777777" w:rsidR="000009C6" w:rsidRDefault="000009C6">
      <w:pPr>
        <w:rPr>
          <w:color w:val="000000" w:themeColor="text1"/>
        </w:rPr>
      </w:pPr>
    </w:p>
    <w:p w14:paraId="44597269" w14:textId="77777777" w:rsidR="000009C6" w:rsidRDefault="000009C6">
      <w:pPr>
        <w:rPr>
          <w:color w:val="000000" w:themeColor="text1"/>
        </w:rPr>
      </w:pPr>
    </w:p>
    <w:p w14:paraId="30A29D67" w14:textId="77777777" w:rsidR="00C63B77" w:rsidRDefault="00C63B77">
      <w:pPr>
        <w:rPr>
          <w:color w:val="000000" w:themeColor="text1"/>
        </w:rPr>
      </w:pPr>
    </w:p>
    <w:p w14:paraId="07790346" w14:textId="03AC7F35" w:rsidR="00C63B77" w:rsidRPr="00C63B77" w:rsidRDefault="00C63B77">
      <w:pPr>
        <w:rPr>
          <w:b/>
          <w:bCs/>
          <w:color w:val="000000" w:themeColor="text1"/>
        </w:rPr>
      </w:pPr>
      <w:r w:rsidRPr="00C63B77">
        <w:rPr>
          <w:b/>
          <w:bCs/>
          <w:color w:val="000000" w:themeColor="text1"/>
        </w:rPr>
        <w:t>Te</w:t>
      </w:r>
      <w:r>
        <w:rPr>
          <w:b/>
          <w:bCs/>
          <w:color w:val="000000" w:themeColor="text1"/>
        </w:rPr>
        <w:t>x</w:t>
      </w:r>
      <w:r w:rsidRPr="00C63B77">
        <w:rPr>
          <w:b/>
          <w:bCs/>
          <w:color w:val="000000" w:themeColor="text1"/>
        </w:rPr>
        <w:t>ts Used:</w:t>
      </w:r>
    </w:p>
    <w:p w14:paraId="5436ADE6" w14:textId="77777777" w:rsidR="00C63B77" w:rsidRPr="00C63B77" w:rsidRDefault="00C63B77">
      <w:pPr>
        <w:rPr>
          <w:color w:val="000000" w:themeColor="text1"/>
        </w:rPr>
      </w:pPr>
    </w:p>
    <w:tbl>
      <w:tblPr>
        <w:tblStyle w:val="GridTable6Colorful-Accent1"/>
        <w:tblW w:w="0" w:type="auto"/>
        <w:tblInd w:w="-176" w:type="dxa"/>
        <w:tblLook w:val="04A0" w:firstRow="1" w:lastRow="0" w:firstColumn="1" w:lastColumn="0" w:noHBand="0" w:noVBand="1"/>
      </w:tblPr>
      <w:tblGrid>
        <w:gridCol w:w="4253"/>
        <w:gridCol w:w="4253"/>
      </w:tblGrid>
      <w:tr w:rsidR="007A0FD6" w:rsidRPr="00C63B77" w14:paraId="140065A7" w14:textId="77777777" w:rsidTr="00C63B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4F81BD" w:themeFill="accent1"/>
            <w:hideMark/>
          </w:tcPr>
          <w:p w14:paraId="39C73C2D" w14:textId="77777777" w:rsidR="007A0FD6" w:rsidRPr="00C63B77" w:rsidRDefault="007A0FD6" w:rsidP="007A0FD6">
            <w:pPr>
              <w:spacing w:after="200" w:line="276" w:lineRule="auto"/>
              <w:rPr>
                <w:color w:val="000000" w:themeColor="text1"/>
                <w:sz w:val="24"/>
                <w:szCs w:val="28"/>
                <w:lang w:val="en-IN"/>
              </w:rPr>
            </w:pPr>
            <w:r w:rsidRPr="00C63B77">
              <w:rPr>
                <w:color w:val="000000" w:themeColor="text1"/>
                <w:sz w:val="24"/>
                <w:szCs w:val="28"/>
                <w:lang w:val="en-IN"/>
              </w:rPr>
              <w:t>Indic Sources</w:t>
            </w:r>
          </w:p>
        </w:tc>
        <w:tc>
          <w:tcPr>
            <w:tcW w:w="4253" w:type="dxa"/>
            <w:shd w:val="clear" w:color="auto" w:fill="4F81BD" w:themeFill="accent1"/>
            <w:hideMark/>
          </w:tcPr>
          <w:p w14:paraId="2B5C6E4E" w14:textId="77777777" w:rsidR="007A0FD6" w:rsidRPr="00C63B77" w:rsidRDefault="007A0FD6" w:rsidP="007A0FD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8"/>
                <w:lang w:val="en-IN"/>
              </w:rPr>
            </w:pPr>
            <w:r w:rsidRPr="00C63B77">
              <w:rPr>
                <w:color w:val="000000" w:themeColor="text1"/>
                <w:sz w:val="24"/>
                <w:szCs w:val="28"/>
                <w:lang w:val="en-IN"/>
              </w:rPr>
              <w:t>Abrahamic Sources</w:t>
            </w:r>
          </w:p>
        </w:tc>
      </w:tr>
      <w:tr w:rsidR="007A0FD6" w:rsidRPr="00C63B77" w14:paraId="4FE2FCC6" w14:textId="77777777" w:rsidTr="00C63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6E487DCC" w14:textId="77777777" w:rsidR="007A0FD6" w:rsidRPr="00C63B77" w:rsidRDefault="007A0FD6" w:rsidP="007A0FD6">
            <w:pPr>
              <w:spacing w:after="200" w:line="276" w:lineRule="auto"/>
              <w:rPr>
                <w:b w:val="0"/>
                <w:bCs w:val="0"/>
                <w:color w:val="000000" w:themeColor="text1"/>
                <w:lang w:val="en-IN"/>
              </w:rPr>
            </w:pPr>
            <w:r w:rsidRPr="00C63B77">
              <w:rPr>
                <w:b w:val="0"/>
                <w:bCs w:val="0"/>
                <w:color w:val="000000" w:themeColor="text1"/>
                <w:lang w:val="en-IN"/>
              </w:rPr>
              <w:t>Mahabharata</w:t>
            </w:r>
          </w:p>
        </w:tc>
        <w:tc>
          <w:tcPr>
            <w:tcW w:w="4253" w:type="dxa"/>
            <w:hideMark/>
          </w:tcPr>
          <w:p w14:paraId="6E0EFBE9" w14:textId="77777777" w:rsidR="007A0FD6" w:rsidRPr="00C63B77" w:rsidRDefault="007A0FD6" w:rsidP="007A0F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IN"/>
              </w:rPr>
            </w:pPr>
            <w:r w:rsidRPr="00C63B77">
              <w:rPr>
                <w:color w:val="000000" w:themeColor="text1"/>
                <w:lang w:val="en-IN"/>
              </w:rPr>
              <w:t>King James Bible</w:t>
            </w:r>
          </w:p>
        </w:tc>
      </w:tr>
      <w:tr w:rsidR="007A0FD6" w:rsidRPr="00C63B77" w14:paraId="3A46200E" w14:textId="77777777" w:rsidTr="00C63B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52081DC2" w14:textId="77777777" w:rsidR="007A0FD6" w:rsidRPr="00C63B77" w:rsidRDefault="007A0FD6" w:rsidP="007A0FD6">
            <w:pPr>
              <w:spacing w:after="200" w:line="276" w:lineRule="auto"/>
              <w:rPr>
                <w:b w:val="0"/>
                <w:bCs w:val="0"/>
                <w:color w:val="000000" w:themeColor="text1"/>
                <w:lang w:val="en-IN"/>
              </w:rPr>
            </w:pPr>
            <w:r w:rsidRPr="00C63B77">
              <w:rPr>
                <w:b w:val="0"/>
                <w:bCs w:val="0"/>
                <w:color w:val="000000" w:themeColor="text1"/>
                <w:lang w:val="en-IN"/>
              </w:rPr>
              <w:t>Ramayana</w:t>
            </w:r>
          </w:p>
        </w:tc>
        <w:tc>
          <w:tcPr>
            <w:tcW w:w="4253" w:type="dxa"/>
            <w:hideMark/>
          </w:tcPr>
          <w:p w14:paraId="1C6A6F8C" w14:textId="77777777" w:rsidR="007A0FD6" w:rsidRPr="00C63B77" w:rsidRDefault="007A0FD6" w:rsidP="007A0F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IN"/>
              </w:rPr>
            </w:pPr>
            <w:r w:rsidRPr="00C63B77">
              <w:rPr>
                <w:color w:val="000000" w:themeColor="text1"/>
                <w:lang w:val="en-IN"/>
              </w:rPr>
              <w:t>Quran</w:t>
            </w:r>
          </w:p>
        </w:tc>
      </w:tr>
      <w:tr w:rsidR="007A0FD6" w:rsidRPr="00C63B77" w14:paraId="14B0E56B" w14:textId="77777777" w:rsidTr="00C63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2F489CE4" w14:textId="77777777" w:rsidR="007A0FD6" w:rsidRPr="00C63B77" w:rsidRDefault="007A0FD6" w:rsidP="007A0FD6">
            <w:pPr>
              <w:spacing w:after="200" w:line="276" w:lineRule="auto"/>
              <w:rPr>
                <w:b w:val="0"/>
                <w:bCs w:val="0"/>
                <w:color w:val="000000" w:themeColor="text1"/>
                <w:lang w:val="en-IN"/>
              </w:rPr>
            </w:pPr>
            <w:r w:rsidRPr="00C63B77">
              <w:rPr>
                <w:b w:val="0"/>
                <w:bCs w:val="0"/>
                <w:color w:val="000000" w:themeColor="text1"/>
                <w:lang w:val="en-IN"/>
              </w:rPr>
              <w:t>Bhagavad Gita</w:t>
            </w:r>
          </w:p>
        </w:tc>
        <w:tc>
          <w:tcPr>
            <w:tcW w:w="4253" w:type="dxa"/>
            <w:hideMark/>
          </w:tcPr>
          <w:p w14:paraId="0FB7AE93" w14:textId="77777777" w:rsidR="007A0FD6" w:rsidRPr="00C63B77" w:rsidRDefault="007A0FD6" w:rsidP="007A0F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IN"/>
              </w:rPr>
            </w:pPr>
            <w:r w:rsidRPr="00C63B77">
              <w:rPr>
                <w:color w:val="000000" w:themeColor="text1"/>
                <w:lang w:val="en-IN"/>
              </w:rPr>
              <w:t>Full Talmud</w:t>
            </w:r>
          </w:p>
        </w:tc>
      </w:tr>
      <w:tr w:rsidR="007A0FD6" w:rsidRPr="00C63B77" w14:paraId="16A8C8F9" w14:textId="77777777" w:rsidTr="00C63B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615DED32" w14:textId="77777777" w:rsidR="007A0FD6" w:rsidRPr="00C63B77" w:rsidRDefault="007A0FD6" w:rsidP="007A0FD6">
            <w:pPr>
              <w:spacing w:after="200" w:line="276" w:lineRule="auto"/>
              <w:rPr>
                <w:b w:val="0"/>
                <w:bCs w:val="0"/>
                <w:color w:val="000000" w:themeColor="text1"/>
                <w:lang w:val="en-IN"/>
              </w:rPr>
            </w:pPr>
            <w:r w:rsidRPr="00C63B77">
              <w:rPr>
                <w:b w:val="0"/>
                <w:bCs w:val="0"/>
                <w:color w:val="000000" w:themeColor="text1"/>
                <w:lang w:val="en-IN"/>
              </w:rPr>
              <w:t>Rig Veda</w:t>
            </w:r>
          </w:p>
        </w:tc>
        <w:tc>
          <w:tcPr>
            <w:tcW w:w="4253" w:type="dxa"/>
            <w:hideMark/>
          </w:tcPr>
          <w:p w14:paraId="6B618143" w14:textId="77777777" w:rsidR="007A0FD6" w:rsidRPr="00C63B77" w:rsidRDefault="007A0FD6" w:rsidP="007A0F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IN"/>
              </w:rPr>
            </w:pPr>
            <w:r w:rsidRPr="00C63B77">
              <w:rPr>
                <w:color w:val="000000" w:themeColor="text1"/>
                <w:lang w:val="en-IN"/>
              </w:rPr>
              <w:t>Josephus Antiquities</w:t>
            </w:r>
          </w:p>
        </w:tc>
      </w:tr>
      <w:tr w:rsidR="007A0FD6" w:rsidRPr="00C63B77" w14:paraId="4495F07A" w14:textId="77777777" w:rsidTr="00C63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6432C602" w14:textId="77777777" w:rsidR="007A0FD6" w:rsidRPr="00C63B77" w:rsidRDefault="007A0FD6" w:rsidP="007A0FD6">
            <w:pPr>
              <w:spacing w:after="200" w:line="276" w:lineRule="auto"/>
              <w:rPr>
                <w:b w:val="0"/>
                <w:bCs w:val="0"/>
                <w:color w:val="000000" w:themeColor="text1"/>
                <w:lang w:val="en-IN"/>
              </w:rPr>
            </w:pPr>
            <w:r w:rsidRPr="00C63B77">
              <w:rPr>
                <w:b w:val="0"/>
                <w:bCs w:val="0"/>
                <w:color w:val="000000" w:themeColor="text1"/>
                <w:lang w:val="en-IN"/>
              </w:rPr>
              <w:t>Vishnu Purana</w:t>
            </w:r>
          </w:p>
        </w:tc>
        <w:tc>
          <w:tcPr>
            <w:tcW w:w="4253" w:type="dxa"/>
            <w:hideMark/>
          </w:tcPr>
          <w:p w14:paraId="0AE3147F" w14:textId="77777777" w:rsidR="007A0FD6" w:rsidRPr="00C63B77" w:rsidRDefault="007A0FD6" w:rsidP="007A0F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IN"/>
              </w:rPr>
            </w:pPr>
            <w:r w:rsidRPr="00C63B77">
              <w:rPr>
                <w:color w:val="000000" w:themeColor="text1"/>
                <w:lang w:val="en-IN"/>
              </w:rPr>
              <w:t>Josephus Wars</w:t>
            </w:r>
          </w:p>
        </w:tc>
      </w:tr>
      <w:tr w:rsidR="007A0FD6" w:rsidRPr="00C63B77" w14:paraId="4CFD98B5" w14:textId="77777777" w:rsidTr="00C63B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473755D5" w14:textId="77777777" w:rsidR="007A0FD6" w:rsidRPr="00C63B77" w:rsidRDefault="007A0FD6" w:rsidP="007A0FD6">
            <w:pPr>
              <w:spacing w:after="200" w:line="276" w:lineRule="auto"/>
              <w:rPr>
                <w:b w:val="0"/>
                <w:bCs w:val="0"/>
                <w:color w:val="000000" w:themeColor="text1"/>
                <w:lang w:val="en-IN"/>
              </w:rPr>
            </w:pPr>
            <w:r w:rsidRPr="00C63B77">
              <w:rPr>
                <w:b w:val="0"/>
                <w:bCs w:val="0"/>
                <w:color w:val="000000" w:themeColor="text1"/>
                <w:lang w:val="en-IN"/>
              </w:rPr>
              <w:t>Garuda Purana</w:t>
            </w:r>
          </w:p>
        </w:tc>
        <w:tc>
          <w:tcPr>
            <w:tcW w:w="4253" w:type="dxa"/>
            <w:hideMark/>
          </w:tcPr>
          <w:p w14:paraId="30E49A3B" w14:textId="77777777" w:rsidR="007A0FD6" w:rsidRPr="00C63B77" w:rsidRDefault="007A0FD6" w:rsidP="007A0F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IN"/>
              </w:rPr>
            </w:pPr>
            <w:r w:rsidRPr="00C63B77">
              <w:rPr>
                <w:color w:val="000000" w:themeColor="text1"/>
                <w:lang w:val="en-IN"/>
              </w:rPr>
              <w:t>Legend of the Jews</w:t>
            </w:r>
          </w:p>
        </w:tc>
      </w:tr>
      <w:tr w:rsidR="007A0FD6" w:rsidRPr="00C63B77" w14:paraId="0859EF62" w14:textId="77777777" w:rsidTr="00C63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37D83856" w14:textId="77777777" w:rsidR="007A0FD6" w:rsidRPr="00C63B77" w:rsidRDefault="007A0FD6" w:rsidP="007A0FD6">
            <w:pPr>
              <w:spacing w:after="200" w:line="276" w:lineRule="auto"/>
              <w:rPr>
                <w:b w:val="0"/>
                <w:bCs w:val="0"/>
                <w:color w:val="000000" w:themeColor="text1"/>
                <w:lang w:val="en-IN"/>
              </w:rPr>
            </w:pPr>
            <w:r w:rsidRPr="00C63B77">
              <w:rPr>
                <w:b w:val="0"/>
                <w:bCs w:val="0"/>
                <w:color w:val="000000" w:themeColor="text1"/>
                <w:lang w:val="en-IN"/>
              </w:rPr>
              <w:t>Panchatantra</w:t>
            </w:r>
          </w:p>
        </w:tc>
        <w:tc>
          <w:tcPr>
            <w:tcW w:w="4253" w:type="dxa"/>
            <w:hideMark/>
          </w:tcPr>
          <w:p w14:paraId="7CF61A3F" w14:textId="43D9E102" w:rsidR="007A0FD6" w:rsidRPr="00C63B77" w:rsidRDefault="007A0FD6" w:rsidP="007A0F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IN"/>
              </w:rPr>
            </w:pPr>
          </w:p>
        </w:tc>
      </w:tr>
    </w:tbl>
    <w:p w14:paraId="79F6B047" w14:textId="629167E4" w:rsidR="007A0FD6" w:rsidRPr="00C63B77" w:rsidRDefault="007A0FD6">
      <w:pPr>
        <w:rPr>
          <w:color w:val="000000" w:themeColor="text1"/>
        </w:rPr>
      </w:pPr>
    </w:p>
    <w:p w14:paraId="734FFE68" w14:textId="77777777" w:rsidR="00B938F5" w:rsidRPr="00C63B77" w:rsidRDefault="00000000">
      <w:pPr>
        <w:keepNext/>
        <w:spacing w:before="240" w:after="120"/>
        <w:rPr>
          <w:color w:val="000000" w:themeColor="text1"/>
        </w:rPr>
      </w:pPr>
      <w:r w:rsidRPr="00C63B77">
        <w:rPr>
          <w:b/>
          <w:color w:val="000000" w:themeColor="text1"/>
          <w:sz w:val="25"/>
        </w:rPr>
        <w:t>1. Comparative Matrix Analysis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B938F5" w:rsidRPr="00C63B77" w14:paraId="4B14D836" w14:textId="77777777" w:rsidTr="00C63B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FD4CA" w14:textId="77777777" w:rsidR="00B938F5" w:rsidRPr="00C63B77" w:rsidRDefault="00000000">
            <w:pPr>
              <w:rPr>
                <w:color w:val="000000" w:themeColor="text1"/>
                <w:sz w:val="24"/>
                <w:szCs w:val="28"/>
              </w:rPr>
            </w:pPr>
            <w:r w:rsidRPr="00C63B77">
              <w:rPr>
                <w:color w:val="000000" w:themeColor="text1"/>
                <w:sz w:val="24"/>
                <w:szCs w:val="28"/>
              </w:rPr>
              <w:t>Topological Vector</w:t>
            </w:r>
          </w:p>
        </w:tc>
        <w:tc>
          <w:tcPr>
            <w:tcW w:w="2257" w:type="dxa"/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330B5" w14:textId="77777777" w:rsidR="00B938F5" w:rsidRPr="00C63B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8"/>
              </w:rPr>
            </w:pPr>
            <w:r w:rsidRPr="00C63B77">
              <w:rPr>
                <w:color w:val="000000" w:themeColor="text1"/>
                <w:sz w:val="24"/>
                <w:szCs w:val="28"/>
              </w:rPr>
              <w:t>Indic Repositories</w:t>
            </w:r>
          </w:p>
        </w:tc>
        <w:tc>
          <w:tcPr>
            <w:tcW w:w="2257" w:type="dxa"/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07C1A" w14:textId="77777777" w:rsidR="00B938F5" w:rsidRPr="00C63B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8"/>
              </w:rPr>
            </w:pPr>
            <w:r w:rsidRPr="00C63B77">
              <w:rPr>
                <w:color w:val="000000" w:themeColor="text1"/>
                <w:sz w:val="24"/>
                <w:szCs w:val="28"/>
              </w:rPr>
              <w:t>Abrahamic Repositories</w:t>
            </w:r>
          </w:p>
        </w:tc>
        <w:tc>
          <w:tcPr>
            <w:tcW w:w="2257" w:type="dxa"/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5BDF2" w14:textId="77777777" w:rsidR="00B938F5" w:rsidRPr="00C63B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8"/>
              </w:rPr>
            </w:pPr>
            <w:r w:rsidRPr="00C63B77">
              <w:rPr>
                <w:color w:val="000000" w:themeColor="text1"/>
                <w:sz w:val="24"/>
                <w:szCs w:val="28"/>
              </w:rPr>
              <w:t>Empirical Distinction</w:t>
            </w:r>
          </w:p>
        </w:tc>
      </w:tr>
      <w:tr w:rsidR="00B938F5" w:rsidRPr="00C63B77" w14:paraId="7B5B6AA9" w14:textId="77777777" w:rsidTr="00B93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6DA6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Nodes (Entity Pool)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77F0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78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4C3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110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FDFC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Core vocabulary and unique entity sizes.</w:t>
            </w:r>
          </w:p>
        </w:tc>
      </w:tr>
      <w:tr w:rsidR="00B938F5" w:rsidRPr="00C63B77" w14:paraId="0C8BC92B" w14:textId="77777777" w:rsidTr="00B938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C57C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Edges (Pruned Links)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1C10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588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4895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728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73DD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Total validated interaction paths.</w:t>
            </w:r>
          </w:p>
        </w:tc>
      </w:tr>
      <w:tr w:rsidR="00B938F5" w:rsidRPr="00C63B77" w14:paraId="085E6B19" w14:textId="77777777" w:rsidTr="00B93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2EF7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Graph Density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AA59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0.19580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F266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0.12143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F346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Interconnection rate across the structural canvas.</w:t>
            </w:r>
          </w:p>
        </w:tc>
      </w:tr>
      <w:tr w:rsidR="00B938F5" w:rsidRPr="00C63B77" w14:paraId="084385A9" w14:textId="77777777" w:rsidTr="00B938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4712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Clustering Coefficient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3EB9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0.0211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4075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0.0095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AF15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Local clustering probability within neighboring factions.</w:t>
            </w:r>
          </w:p>
        </w:tc>
      </w:tr>
      <w:tr w:rsidR="00B938F5" w:rsidRPr="00C63B77" w14:paraId="4CBBFD19" w14:textId="77777777" w:rsidTr="00B93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4D62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Network Diameter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69CA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3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4545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4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4E91" w14:textId="77777777" w:rsidR="00B938F5" w:rsidRPr="00C63B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Maximum structural steps between separated entities.</w:t>
            </w:r>
          </w:p>
        </w:tc>
      </w:tr>
      <w:tr w:rsidR="00B938F5" w:rsidRPr="00C63B77" w14:paraId="7AF6A95F" w14:textId="77777777" w:rsidTr="00B938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7BA0" w14:textId="77777777" w:rsidR="00B938F5" w:rsidRPr="00C63B77" w:rsidRDefault="00000000">
            <w:pPr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Average Path Length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9745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1.91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0C5B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2.24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D42D" w14:textId="77777777" w:rsidR="00B938F5" w:rsidRPr="00C63B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3B77">
              <w:rPr>
                <w:color w:val="000000" w:themeColor="text1"/>
              </w:rPr>
              <w:t>Average separation distance between any two nodes.</w:t>
            </w:r>
          </w:p>
        </w:tc>
      </w:tr>
    </w:tbl>
    <w:p w14:paraId="63CC9859" w14:textId="77777777" w:rsidR="00B938F5" w:rsidRPr="00C63B77" w:rsidRDefault="00000000">
      <w:pPr>
        <w:keepNext/>
        <w:spacing w:before="280" w:after="120"/>
        <w:rPr>
          <w:color w:val="000000" w:themeColor="text1"/>
        </w:rPr>
      </w:pPr>
      <w:r w:rsidRPr="00C63B77">
        <w:rPr>
          <w:b/>
          <w:color w:val="000000" w:themeColor="text1"/>
          <w:sz w:val="25"/>
        </w:rPr>
        <w:lastRenderedPageBreak/>
        <w:t>2. Core Macro-Topographical Differences</w:t>
      </w:r>
    </w:p>
    <w:p w14:paraId="3AFD6B78" w14:textId="77777777" w:rsidR="00B938F5" w:rsidRPr="00C63B77" w:rsidRDefault="00000000">
      <w:pPr>
        <w:pStyle w:val="ListBullet"/>
        <w:rPr>
          <w:color w:val="000000" w:themeColor="text1"/>
        </w:rPr>
      </w:pPr>
      <w:r w:rsidRPr="00C63B77">
        <w:rPr>
          <w:b/>
          <w:color w:val="000000" w:themeColor="text1"/>
        </w:rPr>
        <w:t xml:space="preserve">Centralization vs. Node Uniformity: </w:t>
      </w:r>
      <w:r w:rsidRPr="00C63B77">
        <w:rPr>
          <w:color w:val="000000" w:themeColor="text1"/>
        </w:rPr>
        <w:t>The Indic cluster relies on major central hubs surrounded by small background figures, whereas the Abrahamic cluster features consistently sized, evenly distributed character nodes.</w:t>
      </w:r>
    </w:p>
    <w:p w14:paraId="2710ABF8" w14:textId="77777777" w:rsidR="00B938F5" w:rsidRPr="00C63B77" w:rsidRDefault="00000000">
      <w:pPr>
        <w:pStyle w:val="ListBullet"/>
        <w:rPr>
          <w:color w:val="000000" w:themeColor="text1"/>
        </w:rPr>
      </w:pPr>
      <w:r w:rsidRPr="00C63B77">
        <w:rPr>
          <w:b/>
          <w:color w:val="000000" w:themeColor="text1"/>
        </w:rPr>
        <w:t xml:space="preserve">Cross-Referencing vs. Linear Trajectories: </w:t>
      </w:r>
      <w:r w:rsidRPr="00C63B77">
        <w:rPr>
          <w:color w:val="000000" w:themeColor="text1"/>
        </w:rPr>
        <w:t>The Indic network uses non-linear, recursive cross-referencing within its factions, while the Abrahamic network matches a linear structural timeline trace defined by chronological generations.</w:t>
      </w:r>
    </w:p>
    <w:p w14:paraId="45A2069C" w14:textId="77777777" w:rsidR="00B938F5" w:rsidRPr="00C63B77" w:rsidRDefault="00000000">
      <w:pPr>
        <w:pStyle w:val="ListBullet"/>
        <w:rPr>
          <w:color w:val="000000" w:themeColor="text1"/>
        </w:rPr>
      </w:pPr>
      <w:r w:rsidRPr="00C63B77">
        <w:rPr>
          <w:b/>
          <w:color w:val="000000" w:themeColor="text1"/>
        </w:rPr>
        <w:t xml:space="preserve">Faction Segregation vs. Blurry Boundaries: </w:t>
      </w:r>
      <w:r w:rsidRPr="00C63B77">
        <w:rPr>
          <w:color w:val="000000" w:themeColor="text1"/>
        </w:rPr>
        <w:t>Indic faction lines are clearly segregated by independent text boundaries and traditions (Vedic, Epic, Puranic). Abrahamic faction boundaries are structural continuities with high cross-reference levels between different historical contexts.</w:t>
      </w:r>
    </w:p>
    <w:p w14:paraId="73E46D61" w14:textId="77777777" w:rsidR="00B938F5" w:rsidRPr="00C63B77" w:rsidRDefault="00000000">
      <w:pPr>
        <w:pStyle w:val="ListBullet"/>
        <w:rPr>
          <w:color w:val="000000" w:themeColor="text1"/>
        </w:rPr>
      </w:pPr>
      <w:r w:rsidRPr="00C63B77">
        <w:rPr>
          <w:b/>
          <w:color w:val="000000" w:themeColor="text1"/>
        </w:rPr>
        <w:t xml:space="preserve">Theological Modeling: </w:t>
      </w:r>
      <w:r w:rsidRPr="00C63B77">
        <w:rPr>
          <w:color w:val="000000" w:themeColor="text1"/>
        </w:rPr>
        <w:t>The Indic system tracks multiple distinct names and contextual roles for divinity (including Brahman mentions). The Abrahamic model organizes relationships around a primary shared entity.</w:t>
      </w:r>
    </w:p>
    <w:p w14:paraId="1D4512DC" w14:textId="77777777" w:rsidR="00B938F5" w:rsidRPr="00C63B77" w:rsidRDefault="00000000">
      <w:pPr>
        <w:keepNext/>
        <w:spacing w:before="280" w:after="120"/>
        <w:rPr>
          <w:color w:val="000000" w:themeColor="text1"/>
        </w:rPr>
      </w:pPr>
      <w:r w:rsidRPr="00C63B77">
        <w:rPr>
          <w:b/>
          <w:color w:val="000000" w:themeColor="text1"/>
          <w:sz w:val="25"/>
        </w:rPr>
        <w:t>3. Indic Repository Deep-Dive Profile</w:t>
      </w:r>
    </w:p>
    <w:p w14:paraId="7DF135B2" w14:textId="443DD8FE" w:rsidR="00B938F5" w:rsidRPr="00C63B77" w:rsidRDefault="00801E83">
      <w:pPr>
        <w:rPr>
          <w:color w:val="000000" w:themeColor="text1"/>
        </w:rPr>
      </w:pPr>
      <w:r w:rsidRPr="00C63B77">
        <w:rPr>
          <w:b/>
          <w:noProof/>
          <w:color w:val="000000" w:themeColor="text1"/>
        </w:rPr>
        <w:drawing>
          <wp:inline distT="0" distB="0" distL="0" distR="0" wp14:anchorId="13BA73CD" wp14:editId="53E2CCB4">
            <wp:extent cx="5733415" cy="5224780"/>
            <wp:effectExtent l="0" t="0" r="635" b="0"/>
            <wp:docPr id="175562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1540" name="Picture 17556215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63B77">
        <w:rPr>
          <w:b/>
          <w:color w:val="000000" w:themeColor="text1"/>
        </w:rPr>
        <w:br/>
      </w:r>
      <w:r w:rsidR="00000000" w:rsidRPr="00C63B77">
        <w:rPr>
          <w:i/>
          <w:color w:val="000000" w:themeColor="text1"/>
        </w:rPr>
        <w:t>Figure 3.1: Full macro-topography of the Indic repository using the ForceAtlas2 algorithm.</w:t>
      </w:r>
    </w:p>
    <w:p w14:paraId="29A5DB36" w14:textId="7C57060D" w:rsidR="00B938F5" w:rsidRPr="00C63B77" w:rsidRDefault="00801E83">
      <w:pPr>
        <w:rPr>
          <w:color w:val="000000" w:themeColor="text1"/>
        </w:rPr>
      </w:pPr>
      <w:r w:rsidRPr="00C63B77">
        <w:rPr>
          <w:b/>
          <w:noProof/>
          <w:color w:val="000000" w:themeColor="text1"/>
        </w:rPr>
        <w:lastRenderedPageBreak/>
        <w:drawing>
          <wp:inline distT="0" distB="0" distL="0" distR="0" wp14:anchorId="31902858" wp14:editId="422F5189">
            <wp:extent cx="5189220" cy="3399334"/>
            <wp:effectExtent l="0" t="0" r="0" b="0"/>
            <wp:docPr id="1553673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3406" name="Picture 1553673406"/>
                    <pic:cNvPicPr/>
                  </pic:nvPicPr>
                  <pic:blipFill rotWithShape="1">
                    <a:blip r:embed="rId9"/>
                    <a:srcRect b="7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670" cy="339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C63B77">
        <w:rPr>
          <w:b/>
          <w:color w:val="000000" w:themeColor="text1"/>
        </w:rPr>
        <w:br/>
      </w:r>
      <w:r w:rsidR="00000000" w:rsidRPr="00C63B77">
        <w:rPr>
          <w:i/>
          <w:color w:val="000000" w:themeColor="text1"/>
        </w:rPr>
        <w:t>Figure 3.2: The Rig-Vedic Pantheonic Faction, highlighting many nodes with lower relative edge weights (Indra, Vishnu, Agni, Yama).</w:t>
      </w:r>
    </w:p>
    <w:p w14:paraId="5AD76FAC" w14:textId="6BFDB98A" w:rsidR="00B938F5" w:rsidRPr="00C63B77" w:rsidRDefault="00801E83">
      <w:pPr>
        <w:rPr>
          <w:color w:val="000000" w:themeColor="text1"/>
        </w:rPr>
      </w:pPr>
      <w:r w:rsidRPr="00C63B77">
        <w:rPr>
          <w:b/>
          <w:noProof/>
          <w:color w:val="000000" w:themeColor="text1"/>
        </w:rPr>
        <w:drawing>
          <wp:inline distT="0" distB="0" distL="0" distR="0" wp14:anchorId="7FC3C6A2" wp14:editId="0D6ACAA9">
            <wp:extent cx="5733415" cy="4326890"/>
            <wp:effectExtent l="0" t="0" r="635" b="0"/>
            <wp:docPr id="1658419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19305" name="Picture 16584193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63B77">
        <w:rPr>
          <w:b/>
          <w:color w:val="000000" w:themeColor="text1"/>
        </w:rPr>
        <w:br/>
      </w:r>
      <w:r w:rsidR="00000000" w:rsidRPr="00C63B77">
        <w:rPr>
          <w:i/>
          <w:color w:val="000000" w:themeColor="text1"/>
        </w:rPr>
        <w:t>Figure 3.3: The Mahabharata Epic Faction, revealing dense clusters and heavy connection weights around primary hubs (Arjuna, Krishna, Bhima, Yudhishthira).</w:t>
      </w:r>
    </w:p>
    <w:p w14:paraId="15E3F726" w14:textId="0B0C411A" w:rsidR="00B938F5" w:rsidRPr="00C63B77" w:rsidRDefault="00801E83">
      <w:pPr>
        <w:rPr>
          <w:color w:val="000000" w:themeColor="text1"/>
        </w:rPr>
      </w:pPr>
      <w:r w:rsidRPr="00C63B77">
        <w:rPr>
          <w:b/>
          <w:noProof/>
          <w:color w:val="000000" w:themeColor="text1"/>
        </w:rPr>
        <w:lastRenderedPageBreak/>
        <w:drawing>
          <wp:inline distT="0" distB="0" distL="0" distR="0" wp14:anchorId="702A2882" wp14:editId="50CEC92F">
            <wp:extent cx="5460763" cy="5907351"/>
            <wp:effectExtent l="0" t="0" r="6985" b="0"/>
            <wp:docPr id="731004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4478" name="Picture 731004478"/>
                    <pic:cNvPicPr/>
                  </pic:nvPicPr>
                  <pic:blipFill rotWithShape="1">
                    <a:blip r:embed="rId11"/>
                    <a:srcRect t="-290" r="470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37" cy="5907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C63B77">
        <w:rPr>
          <w:b/>
          <w:color w:val="000000" w:themeColor="text1"/>
        </w:rPr>
        <w:br/>
      </w:r>
      <w:r w:rsidR="00000000" w:rsidRPr="00C63B77">
        <w:rPr>
          <w:i/>
          <w:color w:val="000000" w:themeColor="text1"/>
        </w:rPr>
        <w:t>Figure 3.4: The Ramayana Narrative Faction, showing a localized structural layout centered on Rama, Sita, and Ravana.</w:t>
      </w:r>
    </w:p>
    <w:p w14:paraId="658D223A" w14:textId="77777777" w:rsidR="00B938F5" w:rsidRPr="00C63B77" w:rsidRDefault="00000000">
      <w:pPr>
        <w:keepNext/>
        <w:spacing w:before="280" w:after="120"/>
        <w:rPr>
          <w:color w:val="000000" w:themeColor="text1"/>
        </w:rPr>
      </w:pPr>
      <w:r w:rsidRPr="00C63B77">
        <w:rPr>
          <w:b/>
          <w:color w:val="000000" w:themeColor="text1"/>
          <w:sz w:val="25"/>
        </w:rPr>
        <w:lastRenderedPageBreak/>
        <w:t>4. Abrahamic Repository Deep-Dive Profile</w:t>
      </w:r>
    </w:p>
    <w:p w14:paraId="7266F876" w14:textId="227AC770" w:rsidR="00B938F5" w:rsidRPr="00C63B77" w:rsidRDefault="00801E83">
      <w:pPr>
        <w:rPr>
          <w:color w:val="000000" w:themeColor="text1"/>
        </w:rPr>
      </w:pPr>
      <w:r w:rsidRPr="00C63B77">
        <w:rPr>
          <w:b/>
          <w:noProof/>
          <w:color w:val="000000" w:themeColor="text1"/>
        </w:rPr>
        <w:drawing>
          <wp:inline distT="0" distB="0" distL="0" distR="0" wp14:anchorId="5B41E056" wp14:editId="75D6338C">
            <wp:extent cx="5608806" cy="4900085"/>
            <wp:effectExtent l="0" t="0" r="0" b="0"/>
            <wp:docPr id="1390164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64044" name="Picture 13901640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63B77">
        <w:rPr>
          <w:b/>
          <w:color w:val="000000" w:themeColor="text1"/>
        </w:rPr>
        <w:br/>
      </w:r>
      <w:r w:rsidR="00000000" w:rsidRPr="00C63B77">
        <w:rPr>
          <w:i/>
          <w:color w:val="000000" w:themeColor="text1"/>
        </w:rPr>
        <w:t>Figure 4.1: Full macro-topography of the Abrahamic repository displaying chronological structural continuity.</w:t>
      </w:r>
    </w:p>
    <w:p w14:paraId="7356CE8F" w14:textId="0322AF1F" w:rsidR="00B938F5" w:rsidRPr="00C63B77" w:rsidRDefault="00801E83">
      <w:pPr>
        <w:rPr>
          <w:color w:val="000000" w:themeColor="text1"/>
        </w:rPr>
      </w:pPr>
      <w:r w:rsidRPr="00C63B77">
        <w:rPr>
          <w:i/>
          <w:noProof/>
          <w:color w:val="000000" w:themeColor="text1"/>
        </w:rPr>
        <w:lastRenderedPageBreak/>
        <w:drawing>
          <wp:inline distT="0" distB="0" distL="0" distR="0" wp14:anchorId="64A4D9E7" wp14:editId="0410F97F">
            <wp:extent cx="5733415" cy="5547360"/>
            <wp:effectExtent l="0" t="0" r="635" b="0"/>
            <wp:docPr id="96518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8945" name="Picture 965189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63B77">
        <w:rPr>
          <w:i/>
          <w:color w:val="000000" w:themeColor="text1"/>
        </w:rPr>
        <w:t>Figure 4.2: The Biblical and Talmudic Faction, highlighting steady node distributions across historical successions (Jesus, Abraham, Moses).</w:t>
      </w:r>
    </w:p>
    <w:p w14:paraId="05F5F9C5" w14:textId="77777777" w:rsidR="00801E83" w:rsidRPr="00C63B77" w:rsidRDefault="00801E83">
      <w:pPr>
        <w:rPr>
          <w:i/>
          <w:color w:val="000000" w:themeColor="text1"/>
        </w:rPr>
      </w:pPr>
      <w:r w:rsidRPr="00C63B77">
        <w:rPr>
          <w:i/>
          <w:noProof/>
          <w:color w:val="000000" w:themeColor="text1"/>
        </w:rPr>
        <w:lastRenderedPageBreak/>
        <w:drawing>
          <wp:inline distT="0" distB="0" distL="0" distR="0" wp14:anchorId="6FF0EE34" wp14:editId="4D322912">
            <wp:extent cx="4930567" cy="4404742"/>
            <wp:effectExtent l="0" t="0" r="3810" b="0"/>
            <wp:docPr id="10701926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92658" name="Picture 10701926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425A" w14:textId="790D1545" w:rsidR="00B938F5" w:rsidRPr="00C63B77" w:rsidRDefault="00000000">
      <w:pPr>
        <w:rPr>
          <w:color w:val="000000" w:themeColor="text1"/>
        </w:rPr>
      </w:pPr>
      <w:r w:rsidRPr="00C63B77">
        <w:rPr>
          <w:i/>
          <w:color w:val="000000" w:themeColor="text1"/>
        </w:rPr>
        <w:t>Figure 4.3: The Islamic Narrative Faction, showing shared baseline entities connecting to a single central focus node.</w:t>
      </w:r>
    </w:p>
    <w:p w14:paraId="69E16104" w14:textId="0DA148CC" w:rsidR="00B938F5" w:rsidRPr="00C63B77" w:rsidRDefault="00801E83">
      <w:pPr>
        <w:rPr>
          <w:color w:val="000000" w:themeColor="text1"/>
        </w:rPr>
      </w:pPr>
      <w:r w:rsidRPr="00C63B77">
        <w:rPr>
          <w:b/>
          <w:noProof/>
          <w:color w:val="000000" w:themeColor="text1"/>
        </w:rPr>
        <w:drawing>
          <wp:inline distT="0" distB="0" distL="0" distR="0" wp14:anchorId="7F72711A" wp14:editId="6A651464">
            <wp:extent cx="3444538" cy="2781541"/>
            <wp:effectExtent l="0" t="0" r="3810" b="0"/>
            <wp:docPr id="2137125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25958" name="Picture 21371259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63B77">
        <w:rPr>
          <w:b/>
          <w:color w:val="000000" w:themeColor="text1"/>
        </w:rPr>
        <w:br/>
      </w:r>
      <w:r w:rsidR="00000000" w:rsidRPr="00C63B77">
        <w:rPr>
          <w:i/>
          <w:color w:val="000000" w:themeColor="text1"/>
        </w:rPr>
        <w:t>Figure 4.4: The Roman Administrative Faction, detailing the localized entry of historical and geopolitical entities (Pontius, Porcius, Antonius).</w:t>
      </w:r>
    </w:p>
    <w:p w14:paraId="0653CCFE" w14:textId="77777777" w:rsidR="00B938F5" w:rsidRPr="00C63B77" w:rsidRDefault="00000000">
      <w:pPr>
        <w:keepNext/>
        <w:spacing w:before="320" w:after="240"/>
        <w:rPr>
          <w:color w:val="000000" w:themeColor="text1"/>
        </w:rPr>
      </w:pPr>
      <w:r w:rsidRPr="00C63B77">
        <w:rPr>
          <w:b/>
          <w:color w:val="000000" w:themeColor="text1"/>
          <w:sz w:val="30"/>
        </w:rPr>
        <w:lastRenderedPageBreak/>
        <w:t>5. Technical and Academic Literature References</w:t>
      </w:r>
    </w:p>
    <w:p w14:paraId="57EBED63" w14:textId="77777777" w:rsidR="00B938F5" w:rsidRPr="00C63B77" w:rsidRDefault="00000000">
      <w:pPr>
        <w:spacing w:after="80"/>
        <w:ind w:left="720" w:hanging="720"/>
        <w:rPr>
          <w:color w:val="000000" w:themeColor="text1"/>
        </w:rPr>
      </w:pPr>
      <w:r w:rsidRPr="00C63B77">
        <w:rPr>
          <w:color w:val="000000" w:themeColor="text1"/>
        </w:rPr>
        <w:t>Bastian, M., Heymann, S., &amp; Jacomy, M. (2009). Gephi: an open source software for exploring and manipulating networks. International AAAI Conference on Weblogs and Social Media.</w:t>
      </w:r>
    </w:p>
    <w:p w14:paraId="10FEC2E3" w14:textId="77777777" w:rsidR="00B938F5" w:rsidRPr="00C63B77" w:rsidRDefault="00000000">
      <w:pPr>
        <w:spacing w:after="80"/>
        <w:ind w:left="720" w:hanging="720"/>
        <w:rPr>
          <w:color w:val="000000" w:themeColor="text1"/>
        </w:rPr>
      </w:pPr>
      <w:r w:rsidRPr="00C63B77">
        <w:rPr>
          <w:color w:val="000000" w:themeColor="text1"/>
        </w:rPr>
        <w:t>Bird, S., Klein, E., &amp; Loper, E. (2009). Natural Language Processing with Python. O'Reilly Media.</w:t>
      </w:r>
    </w:p>
    <w:p w14:paraId="188742BA" w14:textId="77777777" w:rsidR="00B938F5" w:rsidRPr="00C63B77" w:rsidRDefault="00000000">
      <w:pPr>
        <w:spacing w:after="80"/>
        <w:ind w:left="720" w:hanging="720"/>
        <w:rPr>
          <w:color w:val="000000" w:themeColor="text1"/>
        </w:rPr>
      </w:pPr>
      <w:r w:rsidRPr="00C63B77">
        <w:rPr>
          <w:color w:val="000000" w:themeColor="text1"/>
        </w:rPr>
        <w:t>Blondel, V. D., Guillaume, J. L., Lambiotte, R., &amp; Lefebvre, E. (2008). Fast unfolding of communities in large networks. Journal of Statistical Mechanics: Theory and Experiment, 2008(10), P10008.</w:t>
      </w:r>
    </w:p>
    <w:p w14:paraId="18179F42" w14:textId="77777777" w:rsidR="00B938F5" w:rsidRPr="00C63B77" w:rsidRDefault="00000000">
      <w:pPr>
        <w:spacing w:after="80"/>
        <w:ind w:left="720" w:hanging="720"/>
        <w:rPr>
          <w:color w:val="000000" w:themeColor="text1"/>
        </w:rPr>
      </w:pPr>
      <w:r w:rsidRPr="00C63B77">
        <w:rPr>
          <w:color w:val="000000" w:themeColor="text1"/>
        </w:rPr>
        <w:t>Hagberg, A. A., Schult, D. A., &amp; Swart, P. J. (2008). Exploring network structure, dynamics, and function using NetworkX. Proceedings of the 7th Python in Science Conference.</w:t>
      </w:r>
    </w:p>
    <w:p w14:paraId="5D45579B" w14:textId="77777777" w:rsidR="00B938F5" w:rsidRPr="00C63B77" w:rsidRDefault="00000000">
      <w:pPr>
        <w:spacing w:after="80"/>
        <w:ind w:left="720" w:hanging="720"/>
        <w:rPr>
          <w:color w:val="000000" w:themeColor="text1"/>
        </w:rPr>
      </w:pPr>
      <w:r w:rsidRPr="00C63B77">
        <w:rPr>
          <w:color w:val="000000" w:themeColor="text1"/>
        </w:rPr>
        <w:t>Mac Carron, P., &amp; Kenna, R. (2012). Universal properties of mythological networks. EPL (Europhysics Letters), 99(2), 28002.</w:t>
      </w:r>
    </w:p>
    <w:p w14:paraId="483EAABA" w14:textId="77777777" w:rsidR="00B938F5" w:rsidRPr="00C63B77" w:rsidRDefault="00000000">
      <w:pPr>
        <w:spacing w:after="80"/>
        <w:ind w:left="720" w:hanging="720"/>
        <w:rPr>
          <w:color w:val="000000" w:themeColor="text1"/>
        </w:rPr>
      </w:pPr>
      <w:r w:rsidRPr="00C63B77">
        <w:rPr>
          <w:color w:val="000000" w:themeColor="text1"/>
        </w:rPr>
        <w:t>Moretti, F. (2011). Network Theory, Plot Analysis. New Left Review, 68, 80-102.</w:t>
      </w:r>
    </w:p>
    <w:p w14:paraId="27287E1C" w14:textId="77777777" w:rsidR="00B938F5" w:rsidRPr="00C63B77" w:rsidRDefault="00000000">
      <w:pPr>
        <w:spacing w:after="80"/>
        <w:ind w:left="720" w:hanging="720"/>
        <w:rPr>
          <w:color w:val="000000" w:themeColor="text1"/>
        </w:rPr>
      </w:pPr>
      <w:r w:rsidRPr="00C63B77">
        <w:rPr>
          <w:color w:val="000000" w:themeColor="text1"/>
        </w:rPr>
        <w:t>Newman, M. E. J. (2010). Networks: An Introduction. Oxford University Press.</w:t>
      </w:r>
    </w:p>
    <w:sectPr w:rsidR="00B938F5" w:rsidRPr="00C63B77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454249">
    <w:abstractNumId w:val="8"/>
  </w:num>
  <w:num w:numId="2" w16cid:durableId="1986087507">
    <w:abstractNumId w:val="6"/>
  </w:num>
  <w:num w:numId="3" w16cid:durableId="1847985463">
    <w:abstractNumId w:val="5"/>
  </w:num>
  <w:num w:numId="4" w16cid:durableId="1715734881">
    <w:abstractNumId w:val="4"/>
  </w:num>
  <w:num w:numId="5" w16cid:durableId="2054574915">
    <w:abstractNumId w:val="7"/>
  </w:num>
  <w:num w:numId="6" w16cid:durableId="1996030247">
    <w:abstractNumId w:val="3"/>
  </w:num>
  <w:num w:numId="7" w16cid:durableId="763260241">
    <w:abstractNumId w:val="2"/>
  </w:num>
  <w:num w:numId="8" w16cid:durableId="144005724">
    <w:abstractNumId w:val="1"/>
  </w:num>
  <w:num w:numId="9" w16cid:durableId="108838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9C6"/>
    <w:rsid w:val="00034616"/>
    <w:rsid w:val="0006063C"/>
    <w:rsid w:val="000B644B"/>
    <w:rsid w:val="0015074B"/>
    <w:rsid w:val="0029639D"/>
    <w:rsid w:val="00326F90"/>
    <w:rsid w:val="007A0FD6"/>
    <w:rsid w:val="00801E83"/>
    <w:rsid w:val="0094124D"/>
    <w:rsid w:val="00AA1D8D"/>
    <w:rsid w:val="00B47730"/>
    <w:rsid w:val="00B938F5"/>
    <w:rsid w:val="00C63B77"/>
    <w:rsid w:val="00CB0664"/>
    <w:rsid w:val="00F60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697B4"/>
  <w14:defaultImageDpi w14:val="300"/>
  <w15:docId w15:val="{4990FFBB-51E3-41CA-93E3-DFB70430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C63B7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07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7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07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github.com/AppleDinger/Setu-dataset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ppleDinger/Setu-engine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 Mishra</cp:lastModifiedBy>
  <cp:revision>4</cp:revision>
  <dcterms:created xsi:type="dcterms:W3CDTF">2013-12-23T23:15:00Z</dcterms:created>
  <dcterms:modified xsi:type="dcterms:W3CDTF">2026-05-21T20:58:00Z</dcterms:modified>
  <cp:category/>
</cp:coreProperties>
</file>