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val="0"/>
        <w:spacing w:line="570" w:lineRule="exact"/>
        <w:ind w:right="320"/>
        <w:jc w:val="left"/>
        <w:rPr>
          <w:rFonts w:ascii="Times New Roman" w:hAnsi="Times New Roman" w:eastAsia="黑体"/>
          <w:spacing w:val="-2"/>
          <w:sz w:val="44"/>
          <w:szCs w:val="44"/>
        </w:rPr>
      </w:pPr>
      <w:r>
        <w:rPr>
          <w:rFonts w:ascii="Times New Roman" w:hAnsi="Times New Roman" w:eastAsia="黑体"/>
          <w:kern w:val="0"/>
          <w:sz w:val="32"/>
          <w:szCs w:val="32"/>
        </w:rPr>
        <w:t>附件3</w:t>
      </w:r>
    </w:p>
    <w:p>
      <w:pPr>
        <w:overflowPunct w:val="0"/>
        <w:spacing w:line="570" w:lineRule="exact"/>
        <w:jc w:val="center"/>
        <w:rPr>
          <w:rFonts w:eastAsia="方正小标宋简体"/>
          <w:sz w:val="44"/>
          <w:szCs w:val="44"/>
        </w:rPr>
      </w:pPr>
      <w:r>
        <w:rPr>
          <w:rFonts w:hint="eastAsia" w:ascii="方正小标宋简体" w:eastAsia="方正小标宋简体"/>
          <w:spacing w:val="-2"/>
          <w:sz w:val="44"/>
          <w:szCs w:val="44"/>
        </w:rPr>
        <w:t>2025年“千企百港调查”大学生社会实践</w:t>
      </w:r>
      <w:r>
        <w:rPr>
          <w:rFonts w:hint="eastAsia" w:ascii="Times New Roman" w:hAnsi="Times New Roman" w:eastAsia="方正小标宋简体"/>
          <w:spacing w:val="-2"/>
          <w:sz w:val="44"/>
          <w:szCs w:val="44"/>
        </w:rPr>
        <w:t>结项</w:t>
      </w:r>
      <w:r>
        <w:rPr>
          <w:rFonts w:eastAsia="方正小标宋简体"/>
          <w:sz w:val="44"/>
          <w:szCs w:val="44"/>
        </w:rPr>
        <w:t>汇总表</w:t>
      </w:r>
    </w:p>
    <w:tbl>
      <w:tblPr>
        <w:tblStyle w:val="5"/>
        <w:tblW w:w="13907" w:type="dxa"/>
        <w:jc w:val="center"/>
        <w:tblLayout w:type="fixed"/>
        <w:tblCellMar>
          <w:top w:w="0" w:type="dxa"/>
          <w:left w:w="108" w:type="dxa"/>
          <w:bottom w:w="0" w:type="dxa"/>
          <w:right w:w="108" w:type="dxa"/>
        </w:tblCellMar>
      </w:tblPr>
      <w:tblGrid>
        <w:gridCol w:w="816"/>
        <w:gridCol w:w="1498"/>
        <w:gridCol w:w="755"/>
        <w:gridCol w:w="699"/>
        <w:gridCol w:w="477"/>
        <w:gridCol w:w="423"/>
        <w:gridCol w:w="366"/>
        <w:gridCol w:w="334"/>
        <w:gridCol w:w="1249"/>
        <w:gridCol w:w="562"/>
        <w:gridCol w:w="288"/>
        <w:gridCol w:w="1276"/>
        <w:gridCol w:w="1150"/>
        <w:gridCol w:w="1101"/>
        <w:gridCol w:w="1919"/>
        <w:gridCol w:w="994"/>
      </w:tblGrid>
      <w:tr>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学院名称</w:t>
            </w:r>
          </w:p>
        </w:tc>
        <w:tc>
          <w:tcPr>
            <w:tcW w:w="1498"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default"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海洋科学与工程学院</w:t>
            </w:r>
          </w:p>
        </w:tc>
        <w:tc>
          <w:tcPr>
            <w:tcW w:w="75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color w:val="000000"/>
                <w:kern w:val="0"/>
                <w:sz w:val="24"/>
                <w:szCs w:val="24"/>
                <w:lang w:bidi="ar"/>
              </w:rPr>
            </w:pPr>
            <w:r>
              <w:rPr>
                <w:rFonts w:hint="eastAsia" w:ascii="仿宋_GB2312" w:hAnsi="仿宋_GB2312" w:eastAsia="仿宋_GB2312" w:cs="仿宋_GB2312"/>
                <w:color w:val="000000"/>
                <w:kern w:val="0"/>
                <w:sz w:val="24"/>
                <w:szCs w:val="24"/>
                <w:lang w:bidi="ar"/>
              </w:rPr>
              <w:t>队伍总数</w:t>
            </w:r>
          </w:p>
        </w:tc>
        <w:tc>
          <w:tcPr>
            <w:tcW w:w="699"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default"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18</w:t>
            </w:r>
          </w:p>
        </w:tc>
        <w:tc>
          <w:tcPr>
            <w:tcW w:w="90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color w:val="000000"/>
                <w:kern w:val="0"/>
                <w:sz w:val="24"/>
                <w:szCs w:val="24"/>
                <w:lang w:bidi="ar"/>
              </w:rPr>
            </w:pPr>
            <w:r>
              <w:rPr>
                <w:rFonts w:hint="eastAsia" w:ascii="仿宋_GB2312" w:hAnsi="仿宋_GB2312" w:eastAsia="仿宋_GB2312" w:cs="仿宋_GB2312"/>
                <w:color w:val="000000"/>
                <w:kern w:val="0"/>
                <w:sz w:val="24"/>
                <w:szCs w:val="24"/>
                <w:lang w:bidi="ar"/>
              </w:rPr>
              <w:t>结项总数</w:t>
            </w:r>
          </w:p>
        </w:tc>
        <w:tc>
          <w:tcPr>
            <w:tcW w:w="70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default"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17</w:t>
            </w:r>
          </w:p>
        </w:tc>
        <w:tc>
          <w:tcPr>
            <w:tcW w:w="1811"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color w:val="000000"/>
                <w:kern w:val="0"/>
                <w:sz w:val="24"/>
                <w:szCs w:val="24"/>
                <w:lang w:bidi="ar"/>
              </w:rPr>
            </w:pPr>
            <w:r>
              <w:rPr>
                <w:rFonts w:hint="eastAsia" w:ascii="仿宋_GB2312" w:hAnsi="仿宋_GB2312" w:eastAsia="仿宋_GB2312" w:cs="仿宋_GB2312"/>
                <w:color w:val="000000"/>
                <w:kern w:val="0"/>
                <w:sz w:val="24"/>
                <w:szCs w:val="24"/>
                <w:lang w:bidi="ar"/>
              </w:rPr>
              <w:t>航运文化地标探索专项数量</w:t>
            </w:r>
          </w:p>
        </w:tc>
        <w:tc>
          <w:tcPr>
            <w:tcW w:w="1564"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1</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color w:val="000000"/>
                <w:kern w:val="0"/>
                <w:sz w:val="24"/>
                <w:szCs w:val="24"/>
                <w:lang w:bidi="ar"/>
              </w:rPr>
            </w:pPr>
            <w:r>
              <w:rPr>
                <w:rFonts w:hint="eastAsia" w:ascii="仿宋_GB2312" w:hAnsi="仿宋_GB2312" w:eastAsia="仿宋_GB2312" w:cs="仿宋_GB2312"/>
                <w:color w:val="000000"/>
                <w:kern w:val="0"/>
                <w:sz w:val="24"/>
                <w:szCs w:val="24"/>
                <w:lang w:bidi="ar"/>
              </w:rPr>
              <w:t>航运相关单位调研专项数量</w:t>
            </w:r>
          </w:p>
        </w:tc>
        <w:tc>
          <w:tcPr>
            <w:tcW w:w="1101"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default"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13</w:t>
            </w:r>
          </w:p>
        </w:tc>
        <w:tc>
          <w:tcPr>
            <w:tcW w:w="1919"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color w:val="000000"/>
                <w:kern w:val="0"/>
                <w:sz w:val="24"/>
                <w:szCs w:val="24"/>
                <w:lang w:bidi="ar"/>
              </w:rPr>
            </w:pPr>
            <w:r>
              <w:rPr>
                <w:rFonts w:hint="eastAsia" w:ascii="仿宋_GB2312" w:hAnsi="仿宋_GB2312" w:eastAsia="仿宋_GB2312" w:cs="仿宋_GB2312"/>
                <w:color w:val="000000"/>
                <w:kern w:val="0"/>
                <w:sz w:val="24"/>
                <w:szCs w:val="24"/>
                <w:lang w:bidi="ar"/>
              </w:rPr>
              <w:t>航运文化普及专项数量</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3</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rPr>
              <w:t>排序</w:t>
            </w:r>
          </w:p>
        </w:tc>
        <w:tc>
          <w:tcPr>
            <w:tcW w:w="1498"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kern w:val="0"/>
                <w:sz w:val="24"/>
                <w:szCs w:val="24"/>
                <w:lang w:eastAsia="zh-Hans" w:bidi="ar"/>
              </w:rPr>
            </w:pPr>
            <w:r>
              <w:rPr>
                <w:rFonts w:hint="eastAsia" w:ascii="仿宋_GB2312" w:hAnsi="仿宋_GB2312" w:eastAsia="仿宋_GB2312" w:cs="仿宋_GB2312"/>
                <w:b/>
                <w:bCs/>
                <w:color w:val="000000"/>
                <w:kern w:val="0"/>
                <w:sz w:val="24"/>
                <w:szCs w:val="24"/>
                <w:lang w:eastAsia="zh-Hans" w:bidi="ar"/>
              </w:rPr>
              <w:t>专项类别</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kern w:val="0"/>
                <w:sz w:val="24"/>
                <w:szCs w:val="24"/>
                <w:lang w:bidi="ar"/>
              </w:rPr>
              <w:t>队伍名称</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kern w:val="0"/>
                <w:sz w:val="24"/>
                <w:szCs w:val="24"/>
                <w:lang w:bidi="ar"/>
              </w:rPr>
              <w:t>实践报告</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kern w:val="0"/>
                <w:sz w:val="24"/>
                <w:szCs w:val="24"/>
                <w:lang w:bidi="ar"/>
              </w:rPr>
              <w:t>《航运基础知识问与答》主题微视频</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rPr>
              <w:t>实践照片</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kern w:val="0"/>
                <w:sz w:val="24"/>
                <w:szCs w:val="24"/>
                <w:lang w:bidi="ar"/>
              </w:rPr>
              <w:t>航海文化资源调查数据*</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kern w:val="0"/>
                <w:sz w:val="24"/>
                <w:szCs w:val="24"/>
                <w:lang w:bidi="ar"/>
              </w:rPr>
              <w:t>调查问卷与访谈提纲*</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kern w:val="0"/>
                <w:sz w:val="24"/>
                <w:szCs w:val="24"/>
                <w:lang w:bidi="ar"/>
              </w:rPr>
            </w:pPr>
            <w:r>
              <w:rPr>
                <w:rFonts w:hint="eastAsia" w:ascii="仿宋_GB2312" w:hAnsi="仿宋_GB2312" w:eastAsia="仿宋_GB2312" w:cs="仿宋_GB2312"/>
                <w:b/>
                <w:bCs/>
                <w:color w:val="000000"/>
                <w:kern w:val="0"/>
                <w:sz w:val="24"/>
                <w:szCs w:val="24"/>
                <w:lang w:bidi="ar"/>
              </w:rPr>
              <w:t>项目简介（200字以内）</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kern w:val="0"/>
                <w:sz w:val="24"/>
                <w:szCs w:val="24"/>
                <w:lang w:bidi="ar"/>
              </w:rPr>
              <w:t>是否予以结项</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1</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航运文化地标探索专项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eastAsia="仿宋_GB2312"/>
                <w:bCs/>
                <w:sz w:val="24"/>
                <w:szCs w:val="24"/>
                <w:lang w:val="en-US" w:eastAsia="zh-CN"/>
              </w:rPr>
              <w:t>扬帆起航实践队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本次社会实践以 “</w:t>
            </w:r>
            <w:r>
              <w:rPr>
                <w:rFonts w:hint="eastAsia" w:ascii="仿宋_GB2312" w:hAnsi="仿宋_GB2312" w:eastAsia="仿宋_GB2312" w:cs="仿宋_GB2312"/>
                <w:kern w:val="0"/>
                <w:sz w:val="24"/>
                <w:szCs w:val="24"/>
                <w:lang w:val="en-US" w:eastAsia="zh-CN" w:bidi="ar"/>
              </w:rPr>
              <w:t>探索</w:t>
            </w:r>
            <w:r>
              <w:rPr>
                <w:rFonts w:hint="eastAsia" w:ascii="仿宋_GB2312" w:hAnsi="仿宋_GB2312" w:eastAsia="仿宋_GB2312" w:cs="仿宋_GB2312"/>
                <w:kern w:val="0"/>
                <w:sz w:val="24"/>
                <w:szCs w:val="24"/>
                <w:lang w:bidi="ar"/>
              </w:rPr>
              <w:t>航运地标” 为核心主题，</w:t>
            </w:r>
            <w:r>
              <w:rPr>
                <w:rFonts w:hint="eastAsia" w:ascii="仿宋_GB2312" w:hAnsi="仿宋_GB2312" w:eastAsia="仿宋_GB2312" w:cs="仿宋_GB2312"/>
                <w:kern w:val="0"/>
                <w:sz w:val="24"/>
                <w:szCs w:val="24"/>
                <w:lang w:eastAsia="zh-CN" w:bidi="ar"/>
              </w:rPr>
              <w:t>我团队探访了上海市</w:t>
            </w:r>
            <w:r>
              <w:rPr>
                <w:rFonts w:hint="default" w:ascii="仿宋_GB2312" w:hAnsi="仿宋_GB2312" w:eastAsia="仿宋_GB2312" w:cs="仿宋_GB2312"/>
                <w:kern w:val="0"/>
                <w:sz w:val="24"/>
                <w:szCs w:val="24"/>
                <w:lang w:val="en-US" w:eastAsia="zh-CN" w:bidi="ar"/>
              </w:rPr>
              <w:t>5</w:t>
            </w:r>
            <w:r>
              <w:rPr>
                <w:rFonts w:hint="eastAsia" w:ascii="仿宋_GB2312" w:hAnsi="仿宋_GB2312" w:eastAsia="仿宋_GB2312" w:cs="仿宋_GB2312"/>
                <w:kern w:val="0"/>
                <w:sz w:val="24"/>
                <w:szCs w:val="24"/>
                <w:lang w:val="en-US" w:eastAsia="zh-CN" w:bidi="ar"/>
              </w:rPr>
              <w:t>个区的</w:t>
            </w:r>
            <w:r>
              <w:rPr>
                <w:rFonts w:hint="default" w:ascii="仿宋_GB2312" w:hAnsi="仿宋_GB2312" w:eastAsia="仿宋_GB2312" w:cs="仿宋_GB2312"/>
                <w:kern w:val="0"/>
                <w:sz w:val="24"/>
                <w:szCs w:val="24"/>
                <w:lang w:val="en-US" w:eastAsia="zh-CN" w:bidi="ar"/>
              </w:rPr>
              <w:t>15</w:t>
            </w:r>
            <w:r>
              <w:rPr>
                <w:rFonts w:hint="eastAsia" w:ascii="仿宋_GB2312" w:hAnsi="仿宋_GB2312" w:eastAsia="仿宋_GB2312" w:cs="仿宋_GB2312"/>
                <w:kern w:val="0"/>
                <w:sz w:val="24"/>
                <w:szCs w:val="24"/>
                <w:lang w:val="en-US" w:eastAsia="zh-CN" w:bidi="ar"/>
              </w:rPr>
              <w:t>处航运地标，有中国航海博物馆，董浩云航运博物馆，潜艇博物馆，北外滩航海公园，世界技能博物馆等。</w:t>
            </w:r>
            <w:r>
              <w:rPr>
                <w:rFonts w:hint="eastAsia" w:ascii="仿宋_GB2312" w:hAnsi="仿宋_GB2312" w:eastAsia="仿宋_GB2312" w:cs="仿宋_GB2312"/>
                <w:kern w:val="0"/>
                <w:sz w:val="24"/>
                <w:szCs w:val="24"/>
                <w:lang w:bidi="ar"/>
              </w:rPr>
              <w:t>通过实地探访，</w:t>
            </w:r>
            <w:r>
              <w:rPr>
                <w:rFonts w:hint="eastAsia" w:ascii="仿宋_GB2312" w:hAnsi="仿宋_GB2312" w:eastAsia="仿宋_GB2312" w:cs="仿宋_GB2312"/>
                <w:kern w:val="0"/>
                <w:sz w:val="24"/>
                <w:szCs w:val="24"/>
                <w:lang w:eastAsia="zh-CN" w:bidi="ar"/>
              </w:rPr>
              <w:t>拍摄照片，撰写脚本拍摄</w:t>
            </w:r>
            <w:r>
              <w:rPr>
                <w:rFonts w:hint="default" w:ascii="仿宋_GB2312" w:hAnsi="仿宋_GB2312" w:eastAsia="仿宋_GB2312" w:cs="仿宋_GB2312"/>
                <w:kern w:val="0"/>
                <w:sz w:val="24"/>
                <w:szCs w:val="24"/>
                <w:lang w:val="en-US" w:eastAsia="zh-CN" w:bidi="ar"/>
              </w:rPr>
              <w:t>citywalk</w:t>
            </w:r>
            <w:r>
              <w:rPr>
                <w:rFonts w:hint="eastAsia" w:ascii="仿宋_GB2312" w:hAnsi="仿宋_GB2312" w:eastAsia="仿宋_GB2312" w:cs="仿宋_GB2312"/>
                <w:kern w:val="0"/>
                <w:sz w:val="24"/>
                <w:szCs w:val="24"/>
                <w:lang w:val="en-US" w:eastAsia="zh-CN" w:bidi="ar"/>
              </w:rPr>
              <w:t>视频，拍摄中国航海博物馆介绍视频，绘制航运地标地图，制作推文，撰写感悟等诸多方式，使团队成员进一步了解了航运地标以及背后的航运历史与事迹，也在一定范围内起到了宣传作用，具有较高的应用价值，完成了实践的预期目标。</w:t>
            </w:r>
          </w:p>
        </w:tc>
        <w:tc>
          <w:tcPr>
            <w:tcW w:w="994"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1</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扬帆向海实践队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为系统探究港口航道与海岸工程专业在智能化转型背景下所面临的现实挑战与发展机遇，团队采用校内调研和校外实践两种形式研究，在校内调研阶段系统采集了港航专业学生、专业教师等多维视角数据，全面了解专业情况与学生想法；在校外实践阶段，通过走访上海罗泾港、安徽马鞍山港、长江中下游航道等地，聚焦智慧港口、智慧航道的技术应用场景，明确了实际生产活动、先进技术与港口航道与海岸工程专业三者间的关系，并梳理出行业对智能化、数字化人才的能力需求。</w:t>
            </w:r>
          </w:p>
          <w:p>
            <w:pPr>
              <w:widowControl/>
              <w:jc w:val="center"/>
              <w:textAlignment w:val="center"/>
              <w:rPr>
                <w:rFonts w:ascii="仿宋_GB2312" w:hAnsi="仿宋_GB2312" w:eastAsia="仿宋_GB2312" w:cs="仿宋_GB2312"/>
                <w:kern w:val="0"/>
                <w:sz w:val="24"/>
                <w:szCs w:val="24"/>
                <w:lang w:bidi="ar"/>
              </w:rPr>
            </w:pP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2</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eastAsia="仿宋_GB2312"/>
                <w:bCs/>
                <w:sz w:val="24"/>
                <w:szCs w:val="24"/>
                <w:lang w:val="en-US" w:eastAsia="zh-CN"/>
              </w:rPr>
              <w:t>溯</w:t>
            </w:r>
            <m:oMath>
              <m:r>
                <m:rPr>
                  <m:sty m:val="p"/>
                </m:rPr>
                <w:rPr>
                  <w:rFonts w:ascii="Cambria Math" w:hAnsi="Cambria Math"/>
                  <w:sz w:val="24"/>
                  <w:szCs w:val="24"/>
                  <w:lang w:val="en-US"/>
                </w:rPr>
                <m:t>∙</m:t>
              </m:r>
            </m:oMath>
            <w:r>
              <w:rPr>
                <w:rFonts w:hint="eastAsia" w:ascii="仿宋_GB2312" w:eastAsia="仿宋_GB2312"/>
                <w:bCs/>
                <w:sz w:val="24"/>
                <w:szCs w:val="24"/>
                <w:lang w:val="en-US" w:eastAsia="zh-CN"/>
              </w:rPr>
              <w:t>光实践队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bCs/>
                <w:sz w:val="24"/>
                <w:szCs w:val="24"/>
                <w:lang w:val="en-US" w:eastAsia="zh-CN"/>
              </w:rPr>
              <w:t>为探究长江口四库联动防控咸潮动态响应与优化路径，溯·光实践队成员通过实地调研的方式走访了上海城投原水有限公司、青草沙水库与陈行水库，了解了</w:t>
            </w:r>
            <w:r>
              <w:rPr>
                <w:rFonts w:hint="eastAsia" w:ascii="仿宋_GB2312" w:eastAsia="仿宋_GB2312"/>
                <w:bCs/>
                <w:sz w:val="24"/>
                <w:szCs w:val="24"/>
              </w:rPr>
              <w:t>上海市“两江并举、多源互补”的供水布局思路</w:t>
            </w:r>
            <w:r>
              <w:rPr>
                <w:rFonts w:hint="eastAsia" w:ascii="仿宋_GB2312" w:eastAsia="仿宋_GB2312"/>
                <w:bCs/>
                <w:sz w:val="24"/>
                <w:szCs w:val="24"/>
                <w:lang w:eastAsia="zh-CN"/>
              </w:rPr>
              <w:t>、</w:t>
            </w:r>
            <w:r>
              <w:rPr>
                <w:rFonts w:hint="eastAsia" w:ascii="仿宋_GB2312" w:eastAsia="仿宋_GB2312"/>
                <w:bCs/>
                <w:sz w:val="24"/>
                <w:szCs w:val="24"/>
              </w:rPr>
              <w:t>四大水库与三峡水库等构建“</w:t>
            </w:r>
            <w:r>
              <w:rPr>
                <w:rFonts w:hint="eastAsia" w:ascii="仿宋_GB2312" w:eastAsia="仿宋_GB2312"/>
                <w:bCs/>
                <w:sz w:val="24"/>
                <w:szCs w:val="24"/>
                <w:lang w:val="en-US" w:eastAsia="zh-CN"/>
              </w:rPr>
              <w:t>跨</w:t>
            </w:r>
            <w:r>
              <w:rPr>
                <w:rFonts w:hint="eastAsia" w:ascii="仿宋_GB2312" w:eastAsia="仿宋_GB2312"/>
                <w:bCs/>
                <w:sz w:val="24"/>
                <w:szCs w:val="24"/>
              </w:rPr>
              <w:t>库协调”机制</w:t>
            </w:r>
            <w:r>
              <w:rPr>
                <w:rFonts w:hint="eastAsia" w:ascii="仿宋_GB2312" w:eastAsia="仿宋_GB2312"/>
                <w:bCs/>
                <w:sz w:val="24"/>
                <w:szCs w:val="24"/>
                <w:lang w:eastAsia="zh-CN"/>
              </w:rPr>
              <w:t>，</w:t>
            </w:r>
            <w:r>
              <w:rPr>
                <w:rFonts w:hint="eastAsia" w:ascii="仿宋_GB2312" w:eastAsia="仿宋_GB2312"/>
                <w:bCs/>
                <w:sz w:val="24"/>
                <w:szCs w:val="24"/>
                <w:lang w:val="en-US" w:eastAsia="zh-CN"/>
              </w:rPr>
              <w:t>并充分学习了上海</w:t>
            </w:r>
            <w:r>
              <w:rPr>
                <w:rFonts w:hint="eastAsia" w:ascii="仿宋_GB2312" w:eastAsia="仿宋_GB2312"/>
                <w:bCs/>
                <w:sz w:val="24"/>
                <w:szCs w:val="24"/>
              </w:rPr>
              <w:t>本地水库形成的“上下游联动”抗咸体系</w:t>
            </w:r>
            <w:r>
              <w:rPr>
                <w:rFonts w:hint="eastAsia" w:ascii="仿宋_GB2312" w:eastAsia="仿宋_GB2312"/>
                <w:bCs/>
                <w:sz w:val="24"/>
                <w:szCs w:val="24"/>
                <w:lang w:eastAsia="zh-CN"/>
              </w:rPr>
              <w:t>。</w:t>
            </w:r>
            <w:r>
              <w:rPr>
                <w:rFonts w:hint="eastAsia" w:ascii="仿宋_GB2312" w:eastAsia="仿宋_GB2312"/>
                <w:bCs/>
                <w:sz w:val="24"/>
                <w:szCs w:val="24"/>
                <w:lang w:val="en-US" w:eastAsia="zh-CN"/>
              </w:rPr>
              <w:t>实践队成员在此调研基础上形成实用新型专利与智慧化咸潮防治科普视频，最终达到提供助力上海应对常态化咸潮入侵的效果。</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688"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3</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eastAsia="仿宋_GB2312"/>
                <w:bCs/>
                <w:sz w:val="24"/>
                <w:szCs w:val="24"/>
                <w:lang w:val="en-US" w:eastAsia="zh-CN"/>
              </w:rPr>
              <w:t>SMU江河安澜实践队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ascii="仿宋_GB2312" w:hAnsi="仿宋_GB2312" w:eastAsia="仿宋_GB2312" w:cs="仿宋_GB2312"/>
                <w:kern w:val="0"/>
                <w:sz w:val="24"/>
                <w:szCs w:val="24"/>
                <w:lang w:bidi="ar"/>
              </w:rPr>
              <w:t>本报告紧密围绕国家“十四五”规划中关于“生态文明建设”和“资源循环利用”的战略导向，系统研究了疏浚土资源化利用的现状、挑战与实施路径。基于上海海事大学SMU江河安澜实践队在江苏南通的实地调研，结合《“十四五”循环经济发展规划》《“无废城市”建设试点工作方案》等政策要求，深入分析了疏浚土在吹填造地、生态修复、建材生产和国土空间优化等方面的资源化潜力。研究表明，当前疏浚土利用仍面临政策协同不足、标准体系不完善、市场化机制欠缺等挑战，亟需建立跨部门协同治理机制、完善疏浚土资源化标准体系、创新政策激励方式，从而推动疏浚土从“工程弃料”向“绿色资源”转型，助力“十四五”时期资源节约型、环境友好型社会建设。</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688"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4</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eastAsia="仿宋_GB2312"/>
                <w:bCs/>
                <w:sz w:val="24"/>
                <w:szCs w:val="24"/>
                <w:lang w:eastAsia="zh-CN"/>
              </w:rPr>
              <w:t>“</w:t>
            </w:r>
            <w:r>
              <w:rPr>
                <w:rFonts w:hint="eastAsia" w:ascii="仿宋_GB2312" w:eastAsia="仿宋_GB2312"/>
                <w:bCs/>
                <w:sz w:val="24"/>
                <w:szCs w:val="24"/>
                <w:lang w:val="en-US" w:eastAsia="zh-CN"/>
              </w:rPr>
              <w:t>船承”实践队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向海图强：从船舶制造看时代海洋强国之路”，由海洋科学与工程学院“船承”实践队负责实施。本项目聚焦华东地区船舶制造国营与民营企业，旨在通过实地调研、深度访谈及案例研究，系统分析其在国内外市场中的竞争地位、所受政策环境、环保可持续表现以及人才需求现状，深入对比不同所有制企业的特长与投入产出效益，并探索通过国际合作提升产业国际竞争力的路径。</w:t>
            </w:r>
          </w:p>
          <w:p>
            <w:pPr>
              <w:widowControl/>
              <w:jc w:val="center"/>
              <w:textAlignment w:val="center"/>
              <w:rPr>
                <w:rFonts w:ascii="仿宋_GB2312" w:hAnsi="仿宋_GB2312" w:eastAsia="仿宋_GB2312" w:cs="仿宋_GB2312"/>
                <w:kern w:val="0"/>
                <w:sz w:val="24"/>
                <w:szCs w:val="24"/>
                <w:lang w:val="en-US" w:eastAsia="zh-CN" w:bidi="ar"/>
              </w:rPr>
            </w:pP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688"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5</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eastAsia="仿宋_GB2312"/>
                <w:bCs/>
                <w:sz w:val="24"/>
                <w:szCs w:val="24"/>
                <w:lang w:val="en-US" w:eastAsia="zh-CN"/>
              </w:rPr>
              <w:t>绿航智安探索队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default" w:ascii="仿宋_GB2312" w:eastAsia="仿宋_GB2312" w:hAnsiTheme="minorHAnsi" w:cstheme="minorBidi"/>
                <w:b w:val="0"/>
                <w:bCs/>
                <w:kern w:val="2"/>
                <w:sz w:val="24"/>
                <w:szCs w:val="24"/>
                <w:lang w:val="en-US" w:eastAsia="zh-CN" w:bidi="ar-SA"/>
              </w:rPr>
              <w:t>本报告基于“绿航智安探索队”对上海中船三井有限公司的专题调研。通过采用技术讲座、生产车间实地考察及专家座谈等多元研究方法，本团队系统探究了双燃料发动机等新能源动力技术的应用现状、技术瓶颈及未来趋势。调研发现，船舶动力绿色转型是一项涵盖材料、控制、安全等多学科的系统工程，且行业对具备创新与实践能力的复合型人才需求迫切。结合对5位行业专家的问卷调研，本报告分析了当前高校人才培养与产业需求的衔接差距，并就课程设置、实践教学及产学研融合等方面提出针对性建议</w:t>
            </w:r>
            <w:r>
              <w:rPr>
                <w:rFonts w:hint="eastAsia" w:ascii="仿宋_GB2312" w:eastAsia="仿宋_GB2312" w:hAnsiTheme="minorHAnsi" w:cstheme="minorBidi"/>
                <w:b w:val="0"/>
                <w:bCs/>
                <w:kern w:val="2"/>
                <w:sz w:val="24"/>
                <w:szCs w:val="24"/>
                <w:lang w:val="en-US" w:eastAsia="zh-CN" w:bidi="ar-SA"/>
              </w:rPr>
              <w:t>。</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688"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6</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eastAsia="仿宋_GB2312"/>
                <w:bCs/>
                <w:sz w:val="24"/>
                <w:szCs w:val="24"/>
                <w:lang w:val="en-US" w:eastAsia="zh-CN"/>
              </w:rPr>
              <w:t>长三角疏浚绿链队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eastAsia="仿宋_GB2312"/>
                <w:bCs/>
                <w:sz w:val="24"/>
                <w:szCs w:val="24"/>
                <w:lang w:val="en-US" w:eastAsia="zh-CN"/>
              </w:rPr>
              <w:t>实践队走进上海市城投水务公司、青草沙水库、陈行水库，在技术员、一线工作者的带领下，了解现阶段水库清淤流程，淤泥处理去向，询问其对淤泥淑君的宝贵建议。同时走进大家理想中淤泥科学绿色处理的一线，了解当前的淤泥处理的局限性，收获问题，带入下一阶段的学习</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688"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7</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eastAsia="仿宋_GB2312"/>
                <w:bCs/>
                <w:sz w:val="24"/>
                <w:szCs w:val="24"/>
                <w:lang w:val="en-US" w:eastAsia="zh-CN"/>
              </w:rPr>
              <w:t>智航深蓝实践队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为深入探究江南造船厂在船舶制造领域的数字化建造进程、传承与创新成果及未来发展方向，海洋科学与工程学院智航深蓝实践队在指导老师孙瑜带领下，前往江南造船厂开展专项调研。实践队通过参观博物馆、生产车间，聆听工程师讲解等方式，系统了解船厂百年发展历程，见证我国船舶工业跨越式发展，深入学习 AI 技术在船舶建造全流程的应用。此次实践实现理论与实践结合，队员感受到我国制造业实力与一线工作者担当，明确了青年学生投身高端制造业的方向，同时发现问题并提出改进建议。</w:t>
            </w:r>
          </w:p>
          <w:p>
            <w:pPr>
              <w:widowControl/>
              <w:jc w:val="center"/>
              <w:textAlignment w:val="center"/>
              <w:rPr>
                <w:rFonts w:ascii="仿宋_GB2312" w:hAnsi="仿宋_GB2312" w:eastAsia="仿宋_GB2312" w:cs="仿宋_GB2312"/>
                <w:kern w:val="0"/>
                <w:sz w:val="24"/>
                <w:szCs w:val="24"/>
                <w:lang w:bidi="ar"/>
              </w:rPr>
            </w:pP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688"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8</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eastAsia="仿宋_GB2312"/>
                <w:bCs/>
                <w:sz w:val="24"/>
                <w:szCs w:val="24"/>
                <w:lang w:eastAsia="zh-CN"/>
              </w:rPr>
              <w:t>“</w:t>
            </w:r>
            <w:r>
              <w:rPr>
                <w:rFonts w:hint="eastAsia" w:ascii="仿宋_GB2312" w:eastAsia="仿宋_GB2312"/>
                <w:bCs/>
                <w:sz w:val="24"/>
                <w:szCs w:val="24"/>
                <w:lang w:val="en-US" w:eastAsia="zh-CN"/>
              </w:rPr>
              <w:t>船新未来”实践队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该项目对海上自主水面船舶MASS试验研究技术进行调研，在国际海事组织IMO 110会议召开后，针对MASS Codes有了一些新规定，本项目主要对新规定进行了解，同时参观了COSCO水池等，对航行试验有所了解，同时加深了对智能船舶的了解。</w:t>
            </w:r>
          </w:p>
          <w:p>
            <w:pPr>
              <w:widowControl/>
              <w:jc w:val="center"/>
              <w:textAlignment w:val="center"/>
              <w:rPr>
                <w:rFonts w:ascii="仿宋_GB2312" w:hAnsi="仿宋_GB2312" w:eastAsia="仿宋_GB2312" w:cs="仿宋_GB2312"/>
                <w:kern w:val="0"/>
                <w:sz w:val="24"/>
                <w:szCs w:val="24"/>
                <w:lang w:val="en-US" w:eastAsia="zh-CN" w:bidi="ar"/>
              </w:rPr>
            </w:pP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688"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9</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宋体" w:hAnsi="宋体" w:cs="宋体"/>
                <w:sz w:val="24"/>
                <w:szCs w:val="24"/>
                <w:lang w:val="en-US" w:eastAsia="zh-CN"/>
              </w:rPr>
              <w:t>江南造船厂智慧建造调研队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当前全球LNG船需求增长，江南造船厂作为国内领先造船厂，其建造理念和造船水平在国内属于领先水平。前往江南造船厂展示馆，参观调研江南造船厂的历史发展和取得的优秀成果；实地参观大型造船厂的生产车间以及造船过程，参观不同船型的建造流程和建造方法；参观江南造船厂数字化研发展览厅，了解学习人工智能在造船上的应用。</w:t>
            </w:r>
          </w:p>
          <w:p>
            <w:pPr>
              <w:widowControl/>
              <w:jc w:val="center"/>
              <w:textAlignment w:val="center"/>
              <w:rPr>
                <w:rFonts w:ascii="仿宋_GB2312" w:hAnsi="仿宋_GB2312" w:eastAsia="仿宋_GB2312" w:cs="仿宋_GB2312"/>
                <w:kern w:val="0"/>
                <w:sz w:val="24"/>
                <w:szCs w:val="24"/>
                <w:lang w:val="en-US" w:eastAsia="zh-CN" w:bidi="ar"/>
              </w:rPr>
            </w:pP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688"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10</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ascii="仿宋_GB2312" w:eastAsia="仿宋_GB2312"/>
                <w:bCs/>
                <w:sz w:val="24"/>
                <w:szCs w:val="24"/>
              </w:rPr>
              <w:t>V</w:t>
            </w:r>
            <w:r>
              <w:rPr>
                <w:rFonts w:hint="eastAsia" w:ascii="仿宋_GB2312" w:eastAsia="仿宋_GB2312"/>
                <w:bCs/>
                <w:sz w:val="24"/>
                <w:szCs w:val="24"/>
              </w:rPr>
              <w:t>oyager-x实践队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ascii="仿宋_GB2312" w:hAnsi="仿宋_GB2312" w:eastAsia="仿宋_GB2312" w:cs="仿宋_GB2312"/>
                <w:kern w:val="0"/>
                <w:sz w:val="24"/>
                <w:szCs w:val="24"/>
                <w:lang w:val="en-US" w:eastAsia="zh-CN" w:bidi="ar"/>
              </w:rPr>
              <w:t>本项目基于2025年上海海事大学“千企百港调查”暑期社会实践，聚焦海上自主水面船舶（MASS）发展中的关键技术瓶颈与系统性问题。研究采用“技术-社会”双视角分析框架，通过文献研读、深度访谈、问卷调查及实地考察等混合研究方法，系统剖析了MASS在感知决策、法规适配和社会接受度等多维度挑战。</w:t>
            </w:r>
          </w:p>
          <w:p>
            <w:pPr>
              <w:widowControl/>
              <w:jc w:val="center"/>
              <w:textAlignment w:val="center"/>
              <w:rPr>
                <w:rFonts w:ascii="仿宋_GB2312" w:hAnsi="仿宋_GB2312" w:eastAsia="仿宋_GB2312" w:cs="仿宋_GB2312"/>
                <w:kern w:val="0"/>
                <w:sz w:val="24"/>
                <w:szCs w:val="24"/>
                <w:lang w:val="en-US" w:eastAsia="zh-CN" w:bidi="ar"/>
              </w:rPr>
            </w:pP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11</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ascii="仿宋_GB2312" w:hAnsi="仿宋_GB2312" w:eastAsia="仿宋_GB2312"/>
                <w:bCs/>
                <w:sz w:val="24"/>
                <w:szCs w:val="24"/>
              </w:rPr>
              <w:t>沪水共济探索队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ascii="仿宋_GB2312" w:hAnsi="仿宋_GB2312" w:eastAsia="仿宋_GB2312" w:cs="仿宋_GB2312"/>
                <w:kern w:val="0"/>
                <w:sz w:val="24"/>
                <w:szCs w:val="24"/>
                <w:lang w:bidi="ar"/>
              </w:rPr>
              <w:t xml:space="preserve">近年来长江口咸潮入侵加剧，威胁上海城市供水安全。2025年6月30日至7月3日，沪水共济探索实践队对上海“四库联动”应对咸潮入侵情况开展实地调研。调研覆盖上海城投原水分公司等多地，通过多种方式，系统记录相关情况。研究发现，智慧调度系统等在应急响应上提高了效率，但跨部门数据共享存在壁垒，生态影响评估体系不完善，公众沟通渠道弱等问题。基于调研结果，报告提出建设跨部门实时数据平台、引入生态决策指标等多项建议，旨在提升城市供水韧性，为相关工作提供实践参考。 </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12</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eastAsia="仿宋_GB2312"/>
                <w:bCs/>
                <w:sz w:val="24"/>
                <w:szCs w:val="24"/>
                <w:lang w:val="en-US" w:eastAsia="zh-CN"/>
              </w:rPr>
              <w:t>筑港通航向未来</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eastAsia="仿宋_GB2312" w:hAnsiTheme="minorHAnsi" w:cstheme="minorBidi"/>
                <w:bCs/>
                <w:kern w:val="2"/>
                <w:sz w:val="24"/>
                <w:szCs w:val="24"/>
                <w:lang w:val="en-US" w:eastAsia="zh-CN" w:bidi="ar-SA"/>
              </w:rPr>
              <w:t>筑港通航向未来实践队以上海航道智慧航标为研究对象，通过实地参访上海航标处临港航标管理站，系统剖析其现状、技术特点、应用效能与未来趋势。上海港航标涵盖灯浮、实体及虚拟AIS航标等类型，分布于长江口深水航道等重要水域，且内河与外海航标在设计、配置上因环境差异各具特点。 智慧航标采用太阳能为主，风能、波浪能为辅的能源模式，搭配智能监控预警与动态监管系统，在航道资源优化配置、航行安全保障及经济效益与生态效益提升方面成效显著。未来，智慧航标将朝着绿色低碳、智能协同与自主决策、虚拟融合与全域覆盖方向发展，为上海国际航运中心建设及航运业高质量发展提供支撑。</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13</w:t>
            </w:r>
            <w:bookmarkStart w:id="0" w:name="_GoBack"/>
            <w:bookmarkEnd w:id="0"/>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航运相关单位调研专项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eastAsia="仿宋_GB2312"/>
                <w:bCs/>
                <w:sz w:val="24"/>
                <w:szCs w:val="24"/>
              </w:rPr>
              <w:t>LNGC实践队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宋体" w:hAnsi="宋体" w:cs="宋体"/>
              </w:rPr>
              <w:t>让组员对LNG船舶及智能船舶建造，运行的前沿知识有初步理解，通过线上调研，专家讲座以及线下船厂参观等活动了解第五代LNG船的创新内容以及建造流程。同时探索当今船舶制造前沿科技，畅想未来的航运事业。活动后，完成活动报告、以及新闻稿，向更多人宣传当今船舶建造的前沿知识。</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1</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航运文化普及专项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eastAsia="仿宋_GB2312"/>
                <w:bCs/>
                <w:sz w:val="24"/>
                <w:szCs w:val="24"/>
                <w:lang w:val="en-US" w:eastAsia="zh-CN"/>
              </w:rPr>
              <w:t>青春七月实践队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bidi="ar"/>
              </w:rPr>
            </w:pPr>
            <w:r>
              <w:rPr>
                <w:rFonts w:hint="eastAsia" w:ascii="仿宋_GB2312" w:hAnsi="仿宋_GB2312" w:eastAsia="仿宋_GB2312" w:cs="仿宋_GB2312"/>
                <w:kern w:val="0"/>
                <w:sz w:val="24"/>
                <w:szCs w:val="24"/>
                <w:lang w:bidi="ar"/>
              </w:rPr>
              <w:t>本次社会实践由上海海事大学“青春七月实践队”执行，团队赴江西省赣州市会昌县小密乡祖彬留守儿童乐园开展了为期15天的支教与航运文化传播活动。项目以“航运文化融入乡村教育”为主题，通过分层教学模式、多元化课程设计与文化体验活动，探索高校社会服务与专业特色相结合的有效路径。本实践报告详细记录了航运文化在留守儿童教育中的应用与推广过程，旨在通过航运文化的独特魅力，激发留守儿童的学习兴趣，增强他们的文化自信和综合素质。</w:t>
            </w:r>
          </w:p>
          <w:p>
            <w:pPr>
              <w:widowControl/>
              <w:jc w:val="center"/>
              <w:textAlignment w:val="center"/>
              <w:rPr>
                <w:rFonts w:ascii="仿宋_GB2312" w:hAnsi="仿宋_GB2312" w:eastAsia="仿宋_GB2312" w:cs="仿宋_GB2312"/>
                <w:kern w:val="0"/>
                <w:sz w:val="24"/>
                <w:szCs w:val="24"/>
                <w:lang w:val="en-US" w:eastAsia="zh-CN" w:bidi="ar"/>
              </w:rPr>
            </w:pP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2</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航运文化普及专项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eastAsia="仿宋_GB2312"/>
                <w:bCs/>
                <w:sz w:val="24"/>
                <w:szCs w:val="24"/>
                <w:lang w:val="en-US" w:eastAsia="zh-CN"/>
              </w:rPr>
              <w:t>上海海事大学沪湘关爱实践队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2025年7月15日至7月30日，上海海事大学沪湘关爱暑期实践队前往湖南湘西花垣县边城镇火焰土村村部开展了为期半个月的支教活动。支教期间，队伍根据队员自身所学，结合孩子们的兴趣，开设了手工，绘画等兴趣课程，同时也设置了航海特色课程，如军事航海史、水手工艺课、海上急救知识课等，与孩子们建立了深厚的友谊，取得了当地的良好反映。此次支教活动总体效果良好，与当地村部和村民都建立了良好联系，为未来的支教工作奠定了良好的基础。</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r>
        <w:tblPrEx>
          <w:tblCellMar>
            <w:top w:w="0" w:type="dxa"/>
            <w:left w:w="108" w:type="dxa"/>
            <w:bottom w:w="0" w:type="dxa"/>
            <w:right w:w="108" w:type="dxa"/>
          </w:tblCellMar>
        </w:tblPrEx>
        <w:trPr>
          <w:trHeight w:val="7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3</w:t>
            </w:r>
          </w:p>
        </w:tc>
        <w:tc>
          <w:tcPr>
            <w:tcW w:w="149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航运文化普及专项</w:t>
            </w:r>
          </w:p>
        </w:tc>
        <w:tc>
          <w:tcPr>
            <w:tcW w:w="1931"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仿宋_GB2312" w:hAnsi="Calibri" w:eastAsia="仿宋_GB2312" w:cs="Times New Roman"/>
                <w:bCs/>
                <w:kern w:val="2"/>
                <w:sz w:val="24"/>
                <w:szCs w:val="24"/>
                <w:lang w:val="en-US" w:eastAsia="zh-CN" w:bidi="ar-SA"/>
              </w:rPr>
            </w:pPr>
            <w:r>
              <w:rPr>
                <w:rFonts w:ascii="仿宋_GB2312" w:eastAsia="仿宋_GB2312"/>
                <w:bCs/>
                <w:sz w:val="24"/>
                <w:szCs w:val="24"/>
              </w:rPr>
              <w:t>红线潮间带</w:t>
            </w:r>
            <w:r>
              <w:rPr>
                <w:rFonts w:hint="eastAsia" w:ascii="仿宋_GB2312" w:eastAsia="仿宋_GB2312"/>
                <w:bCs/>
                <w:sz w:val="24"/>
                <w:szCs w:val="24"/>
              </w:rPr>
              <w:t>实践队</w:t>
            </w:r>
          </w:p>
        </w:tc>
        <w:tc>
          <w:tcPr>
            <w:tcW w:w="78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5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85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27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115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val="en-US" w:eastAsia="zh-CN" w:bidi="ar"/>
              </w:rPr>
              <w:t>×</w:t>
            </w:r>
          </w:p>
        </w:tc>
        <w:tc>
          <w:tcPr>
            <w:tcW w:w="302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仿宋_GB2312" w:eastAsia="仿宋_GB2312" w:cs="仿宋_GB2312"/>
                <w:kern w:val="0"/>
                <w:sz w:val="24"/>
                <w:szCs w:val="24"/>
                <w:lang w:val="en-US" w:eastAsia="zh-CN" w:bidi="ar"/>
              </w:rPr>
            </w:pPr>
            <w:r>
              <w:rPr>
                <w:rFonts w:ascii="仿宋_GB2312" w:hAnsi="仿宋_GB2312" w:eastAsia="仿宋_GB2312" w:cs="仿宋_GB2312"/>
                <w:kern w:val="0"/>
                <w:sz w:val="24"/>
                <w:szCs w:val="24"/>
                <w:lang w:bidi="ar"/>
              </w:rPr>
              <w:t>“红线潮间带”实践队申报了“基于元宇宙框架的海洋环境与安全知识水平调研与科普 - 运用线上微课程的形式科普”项目。项目旨在设计海洋环境与安全知识调查问卷，借助元宇宙技术打造互动式学习平台，提升上海中小学人群对本地海洋环境问题和安全隐患的认知。同时制作相关微课程，开发“安全微课 - 模拟演练 - 即时反馈”三维度教学包，让学生在虚拟环境中掌握潮汐计算、暗流识别等实操技能，以低成本实现知识广泛传播。</w:t>
            </w:r>
          </w:p>
        </w:tc>
        <w:tc>
          <w:tcPr>
            <w:tcW w:w="994"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hint="eastAsia" w:ascii="仿宋_GB2312" w:hAnsi="仿宋_GB2312" w:eastAsia="仿宋_GB2312" w:cs="仿宋_GB2312"/>
                <w:kern w:val="0"/>
                <w:sz w:val="24"/>
                <w:szCs w:val="24"/>
                <w:lang w:val="en-US" w:eastAsia="zh-CN" w:bidi="ar"/>
              </w:rPr>
            </w:pPr>
            <w:r>
              <w:rPr>
                <w:rFonts w:hint="eastAsia" w:ascii="仿宋_GB2312" w:hAnsi="仿宋_GB2312" w:eastAsia="仿宋_GB2312" w:cs="仿宋_GB2312"/>
                <w:kern w:val="0"/>
                <w:sz w:val="24"/>
                <w:szCs w:val="24"/>
                <w:lang w:bidi="ar"/>
              </w:rPr>
              <w:t>是</w:t>
            </w:r>
          </w:p>
        </w:tc>
      </w:tr>
    </w:tbl>
    <w:p>
      <w:pPr>
        <w:rPr>
          <w:rFonts w:ascii="仿宋_GB2312" w:hAnsi="仿宋_GB2312" w:eastAsia="仿宋_GB2312" w:cs="仿宋_GB2312"/>
          <w:sz w:val="24"/>
          <w:szCs w:val="24"/>
        </w:rPr>
      </w:pPr>
    </w:p>
    <w:p>
      <w:pPr>
        <w:rPr>
          <w:rFonts w:ascii="仿宋_GB2312" w:hAnsi="仿宋_GB2312" w:eastAsia="仿宋_GB2312" w:cs="仿宋_GB2312"/>
          <w:sz w:val="24"/>
          <w:szCs w:val="24"/>
        </w:rPr>
      </w:pPr>
      <w:r>
        <w:rPr>
          <w:rFonts w:hint="eastAsia" w:ascii="仿宋_GB2312" w:hAnsi="仿宋_GB2312" w:eastAsia="仿宋_GB2312" w:cs="仿宋_GB2312"/>
          <w:b/>
          <w:bCs/>
          <w:sz w:val="24"/>
          <w:szCs w:val="24"/>
        </w:rPr>
        <w:t>备注：</w:t>
      </w:r>
      <w:r>
        <w:rPr>
          <w:rFonts w:hint="eastAsia" w:ascii="仿宋_GB2312" w:hAnsi="仿宋_GB2312" w:eastAsia="仿宋_GB2312" w:cs="仿宋_GB2312"/>
          <w:sz w:val="24"/>
          <w:szCs w:val="24"/>
        </w:rPr>
        <w:t>1.“*”为可选项，实践队可依据队伍实践情况选择性提交。</w:t>
      </w:r>
    </w:p>
    <w:p>
      <w:pPr>
        <w:ind w:firstLine="720" w:firstLineChars="300"/>
        <w:rPr>
          <w:rFonts w:ascii="仿宋_GB2312" w:hAnsi="仿宋_GB2312" w:eastAsia="仿宋_GB2312" w:cs="仿宋_GB2312"/>
          <w:sz w:val="24"/>
          <w:szCs w:val="24"/>
        </w:rPr>
      </w:pPr>
      <w:r>
        <w:rPr>
          <w:rFonts w:hint="eastAsia" w:ascii="仿宋_GB2312" w:hAnsi="仿宋_GB2312" w:eastAsia="仿宋_GB2312" w:cs="仿宋_GB2312"/>
          <w:sz w:val="24"/>
          <w:szCs w:val="24"/>
        </w:rPr>
        <w:t>2.各专项行数可依据实际队伍数量增减；</w:t>
      </w:r>
    </w:p>
    <w:p>
      <w:pPr>
        <w:ind w:firstLine="720" w:firstLineChars="300"/>
        <w:rPr>
          <w:rFonts w:ascii="仿宋_GB2312" w:hAnsi="仿宋_GB2312" w:eastAsia="仿宋_GB2312" w:cs="仿宋_GB2312"/>
          <w:sz w:val="24"/>
          <w:szCs w:val="24"/>
        </w:rPr>
      </w:pPr>
      <w:r>
        <w:rPr>
          <w:rFonts w:hint="eastAsia" w:ascii="仿宋_GB2312" w:hAnsi="仿宋_GB2312" w:eastAsia="仿宋_GB2312" w:cs="仿宋_GB2312"/>
          <w:sz w:val="24"/>
          <w:szCs w:val="24"/>
        </w:rPr>
        <w:t>3.</w:t>
      </w:r>
      <w:r>
        <w:rPr>
          <w:rFonts w:hint="eastAsia" w:ascii="仿宋_GB2312" w:eastAsia="仿宋_GB2312"/>
          <w:kern w:val="0"/>
          <w:sz w:val="24"/>
          <w:szCs w:val="24"/>
        </w:rPr>
        <w:t>请按推荐顺序依次填写，序</w:t>
      </w:r>
      <w:r>
        <w:rPr>
          <w:rFonts w:hint="eastAsia" w:ascii="仿宋_GB2312" w:hAnsi="仿宋_GB2312" w:eastAsia="仿宋_GB2312" w:cs="仿宋_GB2312"/>
          <w:kern w:val="0"/>
          <w:sz w:val="24"/>
          <w:szCs w:val="24"/>
        </w:rPr>
        <w:t>号</w:t>
      </w:r>
      <w:r>
        <w:rPr>
          <w:rFonts w:ascii="Times New Roman" w:hAnsi="Times New Roman" w:eastAsia="仿宋_GB2312"/>
          <w:kern w:val="0"/>
          <w:sz w:val="24"/>
          <w:szCs w:val="24"/>
        </w:rPr>
        <w:t>1</w:t>
      </w:r>
      <w:r>
        <w:rPr>
          <w:rFonts w:hint="eastAsia" w:ascii="仿宋_GB2312" w:hAnsi="仿宋_GB2312" w:eastAsia="仿宋_GB2312" w:cs="仿宋_GB2312"/>
          <w:kern w:val="0"/>
          <w:sz w:val="24"/>
          <w:szCs w:val="24"/>
        </w:rPr>
        <w:t>即为</w:t>
      </w:r>
      <w:r>
        <w:rPr>
          <w:rFonts w:hint="eastAsia" w:ascii="仿宋_GB2312" w:eastAsia="仿宋_GB2312"/>
          <w:kern w:val="0"/>
          <w:sz w:val="24"/>
          <w:szCs w:val="24"/>
        </w:rPr>
        <w:t>第一推荐项目。</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altName w:val="方正舒体"/>
    <w:panose1 w:val="00000600000000000000"/>
    <w:charset w:val="86"/>
    <w:family w:val="auto"/>
    <w:pitch w:val="default"/>
    <w:sig w:usb0="00000000" w:usb1="00000000" w:usb2="00000012" w:usb3="00000000" w:csb0="00160001" w:csb1="00000000"/>
  </w:font>
  <w:font w:name="仿宋_GB2312">
    <w:altName w:val="仿宋"/>
    <w:panose1 w:val="02010609030101010101"/>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FjMmU5ZTQ1OTk3ZTg3YzMwNDFiOGFlNjRmNTJhYzUifQ=="/>
  </w:docVars>
  <w:rsids>
    <w:rsidRoot w:val="77FF659E"/>
    <w:rsid w:val="00517320"/>
    <w:rsid w:val="006C0266"/>
    <w:rsid w:val="00751E0C"/>
    <w:rsid w:val="00C06F9F"/>
    <w:rsid w:val="00FA4347"/>
    <w:rsid w:val="02AD38EB"/>
    <w:rsid w:val="07E43C9C"/>
    <w:rsid w:val="0DDE7C25"/>
    <w:rsid w:val="10676902"/>
    <w:rsid w:val="11B547FE"/>
    <w:rsid w:val="1D9444C8"/>
    <w:rsid w:val="42DE0530"/>
    <w:rsid w:val="52C24B69"/>
    <w:rsid w:val="54C009A1"/>
    <w:rsid w:val="57532D41"/>
    <w:rsid w:val="629703FF"/>
    <w:rsid w:val="6A0E5B81"/>
    <w:rsid w:val="6AD2523A"/>
    <w:rsid w:val="77EF5386"/>
    <w:rsid w:val="77FF659E"/>
    <w:rsid w:val="7B8E3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widowControl w:val="0"/>
      <w:spacing w:line="440" w:lineRule="exact"/>
      <w:ind w:firstLine="480" w:firstLineChars="200"/>
      <w:jc w:val="both"/>
      <w:outlineLvl w:val="9"/>
    </w:pPr>
    <w:rPr>
      <w:rFonts w:ascii="Times New Roman" w:hAnsi="Times New Roman" w:eastAsia="楷体" w:cs="Times New Roman"/>
      <w:kern w:val="2"/>
      <w:sz w:val="28"/>
      <w:szCs w:val="24"/>
      <w:lang w:bidi="ar-SA"/>
    </w:r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67</Words>
  <Characters>387</Characters>
  <Lines>3</Lines>
  <Paragraphs>1</Paragraphs>
  <TotalTime>2</TotalTime>
  <ScaleCrop>false</ScaleCrop>
  <LinksUpToDate>false</LinksUpToDate>
  <CharactersWithSpaces>453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2023-09-08T16:45:00Z</dcterms:created>
  <dc:creator>LZY</dc:creator>
  <cp:lastModifiedBy>Morii</cp:lastModifiedBy>
  <dcterms:modified xsi:type="dcterms:W3CDTF">2025-09-22T13:34:34Z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58D52D4A62B48B770DDFFA649131C205_41</vt:lpwstr>
  </property>
</Properties>
</file>