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8DA" w:rsidRDefault="005128DA" w:rsidP="005128DA">
      <w:pPr>
        <w:pStyle w:val="Ttulo2"/>
      </w:pPr>
    </w:p>
    <w:p w:rsidR="005128DA" w:rsidRPr="00B20778" w:rsidRDefault="005128DA" w:rsidP="00B20778">
      <w:pPr>
        <w:pStyle w:val="Ttulo2"/>
        <w:jc w:val="center"/>
        <w:rPr>
          <w:rFonts w:ascii="Poppins" w:hAnsi="Poppins" w:cs="Poppins"/>
          <w:sz w:val="32"/>
          <w:szCs w:val="32"/>
        </w:rPr>
      </w:pPr>
      <w:r w:rsidRPr="00B20778">
        <w:rPr>
          <w:rFonts w:ascii="Poppins" w:hAnsi="Poppins" w:cs="Poppins"/>
          <w:noProof/>
          <w:sz w:val="32"/>
          <w:szCs w:val="32"/>
        </w:rPr>
        <w:drawing>
          <wp:anchor distT="0" distB="0" distL="114300" distR="114300" simplePos="0" relativeHeight="251659264" behindDoc="1" locked="1" layoutInCell="1" allowOverlap="1">
            <wp:simplePos x="0" y="0"/>
            <wp:positionH relativeFrom="column">
              <wp:posOffset>-913130</wp:posOffset>
            </wp:positionH>
            <wp:positionV relativeFrom="page">
              <wp:posOffset>0</wp:posOffset>
            </wp:positionV>
            <wp:extent cx="7765200" cy="1666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ncabezado - PAG Documentos EVDIASNOSTIX 202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6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0778">
        <w:rPr>
          <w:rFonts w:ascii="Poppins" w:hAnsi="Poppins" w:cs="Poppins"/>
          <w:noProof/>
          <w:sz w:val="32"/>
          <w:szCs w:val="32"/>
        </w:rPr>
        <w:drawing>
          <wp:anchor distT="0" distB="0" distL="114300" distR="114300" simplePos="0" relativeHeight="251660288" behindDoc="1" locked="1" layoutInCell="1" allowOverlap="1">
            <wp:simplePos x="0" y="0"/>
            <wp:positionH relativeFrom="column">
              <wp:posOffset>-914400</wp:posOffset>
            </wp:positionH>
            <wp:positionV relativeFrom="page">
              <wp:posOffset>7297615</wp:posOffset>
            </wp:positionV>
            <wp:extent cx="7765200" cy="275040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arte abajo - PAG Documentos EVDIASNOSTIX 20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0778">
        <w:rPr>
          <w:rFonts w:ascii="Poppins" w:hAnsi="Poppins" w:cs="Poppins"/>
          <w:sz w:val="32"/>
          <w:szCs w:val="32"/>
        </w:rPr>
        <w:t>EFICIENCIA, ACCESIBILIDAD Y SOSTENIBILIDAD EN LA RED</w:t>
      </w:r>
    </w:p>
    <w:p w:rsidR="005128DA" w:rsidRPr="005128DA" w:rsidRDefault="006F3790" w:rsidP="00B20778">
      <w:pPr>
        <w:spacing w:before="100" w:beforeAutospacing="1" w:after="100" w:afterAutospacing="1" w:line="240" w:lineRule="auto"/>
        <w:jc w:val="both"/>
        <w:rPr>
          <w:rFonts w:ascii="Roboto" w:eastAsia="Times New Roman" w:hAnsi="Roboto" w:cs="Poppins"/>
          <w:sz w:val="24"/>
          <w:szCs w:val="24"/>
          <w:lang w:eastAsia="es-VE"/>
        </w:rPr>
      </w:pPr>
      <w:r>
        <w:rPr>
          <w:rFonts w:ascii="Roboto" w:eastAsia="Times New Roman" w:hAnsi="Roboto" w:cs="Poppins"/>
          <w:sz w:val="24"/>
          <w:szCs w:val="24"/>
          <w:lang w:eastAsia="es-VE"/>
        </w:rPr>
        <w:tab/>
      </w:r>
      <w:r w:rsidR="005128DA" w:rsidRPr="005128DA">
        <w:rPr>
          <w:rFonts w:ascii="Roboto" w:eastAsia="Times New Roman" w:hAnsi="Roboto" w:cs="Poppins"/>
          <w:sz w:val="24"/>
          <w:szCs w:val="24"/>
          <w:lang w:eastAsia="es-VE"/>
        </w:rPr>
        <w:t>Más allá de la resolución de fa</w:t>
      </w:r>
      <w:r>
        <w:rPr>
          <w:rFonts w:ascii="Roboto" w:eastAsia="Times New Roman" w:hAnsi="Roboto" w:cs="Poppins"/>
          <w:sz w:val="24"/>
          <w:szCs w:val="24"/>
          <w:lang w:eastAsia="es-VE"/>
        </w:rPr>
        <w:t>llas puntuales, el impacto de EV</w:t>
      </w:r>
      <w:r w:rsidR="005128DA" w:rsidRPr="005128DA">
        <w:rPr>
          <w:rFonts w:ascii="Roboto" w:eastAsia="Times New Roman" w:hAnsi="Roboto" w:cs="Poppins"/>
          <w:sz w:val="24"/>
          <w:szCs w:val="24"/>
          <w:lang w:eastAsia="es-VE"/>
        </w:rPr>
        <w:t xml:space="preserve"> Diagnostix se extiende hacia la construcción de una cultura de mantenimiento predictivo y eficiencia operativa. Al integrar bases de datos constantemente actualizadas sobre una amplia gama de marcas y modelos —con especial énfasis en las nuevas arquitecturas de vehículos híbridos y eléctricos—, el servicio web de la compañía asegura que cualquier técnico, independientemente de su nivel de especialización previo, pueda abordar reparaciones complejas con la confianza y el respaldo de un equipo de ingeniería global. Esta transferencia de conocimiento en tiempo real eleva los estándares de calidad de la reparación automotriz a escala global.</w:t>
      </w:r>
    </w:p>
    <w:p w:rsidR="005128DA" w:rsidRPr="005128DA" w:rsidRDefault="006F3790" w:rsidP="00B20778">
      <w:pPr>
        <w:spacing w:before="100" w:beforeAutospacing="1" w:after="100" w:afterAutospacing="1" w:line="240" w:lineRule="auto"/>
        <w:jc w:val="both"/>
        <w:rPr>
          <w:rFonts w:ascii="Roboto" w:eastAsia="Times New Roman" w:hAnsi="Roboto" w:cs="Poppins"/>
          <w:sz w:val="24"/>
          <w:szCs w:val="24"/>
          <w:lang w:eastAsia="es-VE"/>
        </w:rPr>
      </w:pPr>
      <w:r>
        <w:rPr>
          <w:rFonts w:ascii="Roboto" w:eastAsia="Times New Roman" w:hAnsi="Roboto" w:cs="Poppins"/>
          <w:sz w:val="24"/>
          <w:szCs w:val="24"/>
          <w:lang w:eastAsia="es-VE"/>
        </w:rPr>
        <w:tab/>
        <w:t>La interfaz de EV</w:t>
      </w:r>
      <w:r w:rsidR="005128DA" w:rsidRPr="005128DA">
        <w:rPr>
          <w:rFonts w:ascii="Roboto" w:eastAsia="Times New Roman" w:hAnsi="Roboto" w:cs="Poppins"/>
          <w:sz w:val="24"/>
          <w:szCs w:val="24"/>
          <w:lang w:eastAsia="es-VE"/>
        </w:rPr>
        <w:t xml:space="preserve"> Diagnostix emula de manera orgánica la interacción con un maestro mecánico en el taller físico, pero potenciada por las ventajas del entorno digital. El usuario introduce los síntomas o los códigos extraídos del sistema de diagnóstico a bordo (OBD) y la plataforma despliega una ruta crítica de reparación que incluye diagramas eléctricos esquemáticos, secuencias de desensamble y especificaciones técnicas de torque y calibración. Este procedimiento guiado no solo mitiga el margen de error humano, sino que también minimiza el riesgo de daños secundarios en los delicados componentes electrónicos de los vehículos modernos.</w:t>
      </w:r>
      <w:bookmarkStart w:id="0" w:name="_GoBack"/>
      <w:bookmarkEnd w:id="0"/>
    </w:p>
    <w:p w:rsidR="005128DA" w:rsidRPr="005128DA" w:rsidRDefault="006F3790" w:rsidP="00B20778">
      <w:pPr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sz w:val="24"/>
          <w:szCs w:val="24"/>
          <w:lang w:eastAsia="es-VE"/>
        </w:rPr>
      </w:pPr>
      <w:r>
        <w:rPr>
          <w:rFonts w:ascii="Roboto" w:eastAsia="Times New Roman" w:hAnsi="Roboto" w:cs="Poppins"/>
          <w:sz w:val="24"/>
          <w:szCs w:val="24"/>
          <w:lang w:eastAsia="es-VE"/>
        </w:rPr>
        <w:tab/>
        <w:t>En conclusión, EV</w:t>
      </w:r>
      <w:r w:rsidR="005128DA" w:rsidRPr="005128DA">
        <w:rPr>
          <w:rFonts w:ascii="Roboto" w:eastAsia="Times New Roman" w:hAnsi="Roboto" w:cs="Poppins"/>
          <w:sz w:val="24"/>
          <w:szCs w:val="24"/>
          <w:lang w:eastAsia="es-VE"/>
        </w:rPr>
        <w:t xml:space="preserve"> Diagnostix no solo representa una evolución en la forma de abordar la mecánica automotriz, sino que redefine la relación entre el software y el hardware vehicular. Al centralizar el conocimiento especializado y ponerlo al alcance de un clic, la compañía se consolida como el estándar de oro en el soporte técnico digital. Sus beneficios son claros y medibles: mayor productividad para las empresas del sector, reducción de costos operativos, extensión de la vida útil del parque automotor y una accesibilidad sin precedentes que posiciona a la telemática y al diagnóstico web como los verdaderos motores de la movilidad del futuro</w:t>
      </w:r>
      <w:r w:rsidR="005128DA" w:rsidRPr="005128DA">
        <w:rPr>
          <w:rFonts w:ascii="Roboto" w:eastAsia="Times New Roman" w:hAnsi="Roboto" w:cs="Times New Roman"/>
          <w:sz w:val="24"/>
          <w:szCs w:val="24"/>
          <w:lang w:eastAsia="es-VE"/>
        </w:rPr>
        <w:t>.</w:t>
      </w:r>
    </w:p>
    <w:p w:rsidR="005128DA" w:rsidRPr="00861776" w:rsidRDefault="005128DA" w:rsidP="00861776"/>
    <w:sectPr w:rsidR="005128DA" w:rsidRPr="00861776" w:rsidSect="005128DA">
      <w:pgSz w:w="12240" w:h="15840"/>
      <w:pgMar w:top="283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776"/>
    <w:rsid w:val="00363245"/>
    <w:rsid w:val="005128DA"/>
    <w:rsid w:val="005C0038"/>
    <w:rsid w:val="006F3790"/>
    <w:rsid w:val="00861776"/>
    <w:rsid w:val="00B20778"/>
    <w:rsid w:val="00C2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996B98-9936-4419-9FD7-027B7EB6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12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128D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512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Efrain Ugueto</dc:creator>
  <cp:keywords/>
  <dc:description/>
  <cp:lastModifiedBy>Efrain Ugueto</cp:lastModifiedBy>
  <cp:revision>2</cp:revision>
  <dcterms:created xsi:type="dcterms:W3CDTF">2026-05-21T21:06:00Z</dcterms:created>
  <dcterms:modified xsi:type="dcterms:W3CDTF">2026-05-21T21:33:00Z</dcterms:modified>
</cp:coreProperties>
</file>