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proofErr w:type="spellStart"/>
      <w:r w:rsidR="0017670C">
        <w:rPr>
          <w:rFonts w:asciiTheme="minorHAnsi" w:hAnsiTheme="minorHAnsi" w:cstheme="minorHAnsi"/>
          <w:highlight w:val="yellow"/>
        </w:rPr>
        <w:t>IMDB_Klon</w:t>
      </w:r>
      <w:proofErr w:type="spellEnd"/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 xml:space="preserve">Lorenz </w:t>
      </w:r>
      <w:proofErr w:type="spellStart"/>
      <w:r w:rsidR="00BD5D9A">
        <w:rPr>
          <w:rFonts w:cstheme="minorHAnsi"/>
          <w:highlight w:val="yellow"/>
        </w:rPr>
        <w:t>Wollring</w:t>
      </w:r>
      <w:proofErr w:type="spellEnd"/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 xml:space="preserve">&lt;David </w:t>
      </w:r>
      <w:proofErr w:type="spellStart"/>
      <w:r w:rsidRPr="00A31C13">
        <w:rPr>
          <w:rFonts w:cstheme="minorHAnsi"/>
          <w:highlight w:val="yellow"/>
          <w:lang w:val="sv-SE"/>
        </w:rPr>
        <w:t>Rumpf</w:t>
      </w:r>
      <w:proofErr w:type="spellEnd"/>
      <w:r w:rsidRPr="00A31C13">
        <w:rPr>
          <w:rFonts w:cstheme="minorHAnsi"/>
          <w:highlight w:val="yellow"/>
          <w:lang w:val="sv-SE"/>
        </w:rPr>
        <w:t>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</w:t>
      </w:r>
      <w:proofErr w:type="spellStart"/>
      <w:r w:rsidRPr="00A31C13">
        <w:rPr>
          <w:rFonts w:cstheme="minorHAnsi"/>
          <w:highlight w:val="yellow"/>
          <w:lang w:val="sv-SE"/>
        </w:rPr>
        <w:t>Thanansaiyan</w:t>
      </w:r>
      <w:proofErr w:type="spellEnd"/>
      <w:r w:rsidRPr="00A31C13">
        <w:rPr>
          <w:rFonts w:cstheme="minorHAnsi"/>
          <w:highlight w:val="yellow"/>
          <w:lang w:val="sv-SE"/>
        </w:rPr>
        <w:t xml:space="preserve"> </w:t>
      </w:r>
      <w:proofErr w:type="spellStart"/>
      <w:r w:rsidRPr="00A31C13">
        <w:rPr>
          <w:rFonts w:cstheme="minorHAnsi"/>
          <w:highlight w:val="yellow"/>
          <w:lang w:val="sv-SE"/>
        </w:rPr>
        <w:t>Pushparajah</w:t>
      </w:r>
      <w:proofErr w:type="spellEnd"/>
      <w:r w:rsidRPr="00A31C13">
        <w:rPr>
          <w:rFonts w:cstheme="minorHAnsi"/>
          <w:highlight w:val="yellow"/>
          <w:lang w:val="sv-SE"/>
        </w:rPr>
        <w:t>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proofErr w:type="spellStart"/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</w:t>
      </w:r>
      <w:proofErr w:type="spellEnd"/>
      <w:r w:rsidRPr="00272A78">
        <w:rPr>
          <w:rFonts w:eastAsia="Times New Roman" w:cstheme="minorHAnsi"/>
          <w:b/>
          <w:sz w:val="20"/>
          <w:szCs w:val="24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FE40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FE40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FE40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FE40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FE40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Scrum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>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Funktionalität zum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laden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Entwicklung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52313353" w:rsidR="008963C5" w:rsidRPr="00ED4438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731"/>
        <w:gridCol w:w="1838"/>
        <w:gridCol w:w="980"/>
        <w:gridCol w:w="786"/>
        <w:gridCol w:w="1180"/>
        <w:gridCol w:w="1297"/>
        <w:gridCol w:w="1415"/>
        <w:gridCol w:w="1330"/>
      </w:tblGrid>
      <w:tr w:rsidR="001513A5" w:rsidRPr="00CF0841" w14:paraId="73DFE5D0" w14:textId="77777777" w:rsidTr="001513A5">
        <w:trPr>
          <w:trHeight w:val="800"/>
        </w:trPr>
        <w:tc>
          <w:tcPr>
            <w:tcW w:w="7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1513A5">
        <w:trPr>
          <w:trHeight w:val="265"/>
        </w:trPr>
        <w:tc>
          <w:tcPr>
            <w:tcW w:w="7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1513A5">
        <w:trPr>
          <w:trHeight w:val="514"/>
        </w:trPr>
        <w:tc>
          <w:tcPr>
            <w:tcW w:w="731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838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getData</w:t>
            </w:r>
            <w:proofErr w:type="spellEnd"/>
          </w:p>
        </w:tc>
        <w:tc>
          <w:tcPr>
            <w:tcW w:w="980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786" w:type="dxa"/>
          </w:tcPr>
          <w:p w14:paraId="1F69E3C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1513A5">
        <w:trPr>
          <w:trHeight w:val="522"/>
        </w:trPr>
        <w:tc>
          <w:tcPr>
            <w:tcW w:w="731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1838" w:type="dxa"/>
          </w:tcPr>
          <w:p w14:paraId="1B44C5A7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getMoviesByGenre</w:t>
            </w:r>
            <w:proofErr w:type="spellEnd"/>
          </w:p>
        </w:tc>
        <w:tc>
          <w:tcPr>
            <w:tcW w:w="980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786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297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1513A5">
        <w:trPr>
          <w:trHeight w:val="265"/>
        </w:trPr>
        <w:tc>
          <w:tcPr>
            <w:tcW w:w="731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1838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980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786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297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1513A5">
        <w:trPr>
          <w:trHeight w:val="265"/>
        </w:trPr>
        <w:tc>
          <w:tcPr>
            <w:tcW w:w="731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1838" w:type="dxa"/>
          </w:tcPr>
          <w:p w14:paraId="4F88B057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getImageByGenre</w:t>
            </w:r>
            <w:proofErr w:type="spellEnd"/>
          </w:p>
        </w:tc>
        <w:tc>
          <w:tcPr>
            <w:tcW w:w="980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297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0D627EF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D2000B2" w14:textId="77777777" w:rsidTr="001513A5">
        <w:trPr>
          <w:trHeight w:val="265"/>
        </w:trPr>
        <w:tc>
          <w:tcPr>
            <w:tcW w:w="731" w:type="dxa"/>
          </w:tcPr>
          <w:p w14:paraId="52412CF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1.2.1</w:t>
            </w:r>
          </w:p>
        </w:tc>
        <w:tc>
          <w:tcPr>
            <w:tcW w:w="1838" w:type="dxa"/>
          </w:tcPr>
          <w:p w14:paraId="29665E64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getImage</w:t>
            </w:r>
            <w:proofErr w:type="spellEnd"/>
          </w:p>
        </w:tc>
        <w:tc>
          <w:tcPr>
            <w:tcW w:w="980" w:type="dxa"/>
          </w:tcPr>
          <w:p w14:paraId="573FDC5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47F4264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7C6C7E1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1297" w:type="dxa"/>
          </w:tcPr>
          <w:p w14:paraId="692E9A43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3BE0EF0E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F3FC972" w14:textId="22C6C5B5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71A112B" w14:textId="77777777" w:rsidTr="001513A5">
        <w:trPr>
          <w:trHeight w:val="265"/>
        </w:trPr>
        <w:tc>
          <w:tcPr>
            <w:tcW w:w="731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1838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createMovie</w:t>
            </w:r>
            <w:proofErr w:type="spellEnd"/>
          </w:p>
        </w:tc>
        <w:tc>
          <w:tcPr>
            <w:tcW w:w="980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1513A5">
        <w:trPr>
          <w:trHeight w:val="265"/>
        </w:trPr>
        <w:tc>
          <w:tcPr>
            <w:tcW w:w="731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1838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insertMovie</w:t>
            </w:r>
            <w:proofErr w:type="spellEnd"/>
          </w:p>
        </w:tc>
        <w:tc>
          <w:tcPr>
            <w:tcW w:w="980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297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1513A5">
        <w:trPr>
          <w:trHeight w:val="265"/>
        </w:trPr>
        <w:tc>
          <w:tcPr>
            <w:tcW w:w="731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1838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80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786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297" w:type="dxa"/>
          </w:tcPr>
          <w:p w14:paraId="2E2BD93C" w14:textId="77777777" w:rsidR="008963C5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1513A5">
        <w:trPr>
          <w:trHeight w:val="257"/>
        </w:trPr>
        <w:tc>
          <w:tcPr>
            <w:tcW w:w="731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838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80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786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80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1513A5">
        <w:trPr>
          <w:trHeight w:val="781"/>
        </w:trPr>
        <w:tc>
          <w:tcPr>
            <w:tcW w:w="731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838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80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786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77777777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3129C65D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6EC82F41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4122D03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59FDF374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1.1, 1.2, 1.3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0E33E81D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  <w:r>
              <w:rPr>
                <w:rFonts w:cstheme="minorHAnsi"/>
              </w:rPr>
              <w:t>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77F57E5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1.3, 1.5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2F04BAE6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250D23C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77777777" w:rsidR="008422E8" w:rsidRPr="00272A78" w:rsidRDefault="008422E8" w:rsidP="0008140B">
            <w:pPr>
              <w:jc w:val="center"/>
              <w:rPr>
                <w:rFonts w:cstheme="minorHAnsi"/>
              </w:rPr>
            </w:pP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save/</w:t>
            </w:r>
            <w:proofErr w:type="spellStart"/>
            <w:r>
              <w:rPr>
                <w:rFonts w:cstheme="minorHAnsi"/>
              </w:rPr>
              <w:t>change</w:t>
            </w:r>
            <w:proofErr w:type="spellEnd"/>
            <w:r>
              <w:rPr>
                <w:rFonts w:cstheme="minorHAnsi"/>
              </w:rPr>
              <w:t xml:space="preserve"> Movie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B35074A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687478DF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.2.1</w:t>
            </w:r>
          </w:p>
        </w:tc>
        <w:tc>
          <w:tcPr>
            <w:tcW w:w="1601" w:type="dxa"/>
          </w:tcPr>
          <w:p w14:paraId="4874DFD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Button: </w:t>
            </w:r>
            <w:proofErr w:type="spellStart"/>
            <w:r>
              <w:rPr>
                <w:rFonts w:cstheme="minorHAnsi"/>
              </w:rPr>
              <w:t>abort</w:t>
            </w:r>
            <w:proofErr w:type="spellEnd"/>
          </w:p>
        </w:tc>
        <w:tc>
          <w:tcPr>
            <w:tcW w:w="1730" w:type="dxa"/>
          </w:tcPr>
          <w:p w14:paraId="46BD4AEC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81" w:type="dxa"/>
          </w:tcPr>
          <w:p w14:paraId="66F0229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6ADE8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.3</w:t>
            </w:r>
          </w:p>
        </w:tc>
        <w:tc>
          <w:tcPr>
            <w:tcW w:w="1601" w:type="dxa"/>
          </w:tcPr>
          <w:p w14:paraId="55A61C20" w14:textId="77777777" w:rsidR="008422E8" w:rsidRPr="00272A78" w:rsidRDefault="008422E8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Movie.eqals</w:t>
            </w:r>
            <w:proofErr w:type="spellEnd"/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86AB6AA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.4</w:t>
            </w:r>
          </w:p>
        </w:tc>
        <w:tc>
          <w:tcPr>
            <w:tcW w:w="1601" w:type="dxa"/>
          </w:tcPr>
          <w:p w14:paraId="74278A81" w14:textId="77777777" w:rsidR="008422E8" w:rsidRDefault="008422E8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checkAufRechte</w:t>
            </w:r>
            <w:proofErr w:type="spellEnd"/>
          </w:p>
        </w:tc>
        <w:tc>
          <w:tcPr>
            <w:tcW w:w="1730" w:type="dxa"/>
          </w:tcPr>
          <w:p w14:paraId="2BF96682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19DE5595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  <w:proofErr w:type="spellEnd"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77777777" w:rsidR="00CA6317" w:rsidRDefault="00CA6317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1.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12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77777777" w:rsidR="00CA6317" w:rsidRDefault="00CA6317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startServer</w:t>
            </w:r>
            <w:proofErr w:type="spellEnd"/>
            <w:r>
              <w:rPr>
                <w:sz w:val="22"/>
                <w:szCs w:val="22"/>
                <w:u w:color="000000"/>
              </w:rPr>
              <w:t xml:space="preserve">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77777777" w:rsidR="00CA6317" w:rsidRDefault="00CA6317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77777777" w:rsidR="00CA6317" w:rsidRDefault="00CA6317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1.2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closeServerSocket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77777777" w:rsidR="00CA6317" w:rsidRDefault="00CA6317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Implementierung des </w:t>
            </w:r>
            <w:proofErr w:type="spellStart"/>
            <w:r>
              <w:rPr>
                <w:sz w:val="22"/>
                <w:szCs w:val="22"/>
                <w:u w:color="000000"/>
              </w:rPr>
              <w:t>ClientServers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10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CA6317" w14:paraId="0993FBAA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77777777" w:rsidR="00CA6317" w:rsidRDefault="00CA6317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77777777" w:rsidR="00CA6317" w:rsidRDefault="00CA6317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SendMessage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77777777" w:rsidR="00CA6317" w:rsidRDefault="00CA6317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77777777" w:rsidR="00CA6317" w:rsidRDefault="00CA6317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ListenForMessage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  <w:tr w:rsidR="00CA6317" w14:paraId="46542722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8B5B" w14:textId="77777777" w:rsidR="00CA6317" w:rsidRDefault="00CA6317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2.3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1C7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CloseEverything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02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D0A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F31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1564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6FF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8AB5" w14:textId="77777777" w:rsidR="00CA6317" w:rsidRDefault="00CA6317" w:rsidP="0008140B"/>
        </w:tc>
      </w:tr>
      <w:tr w:rsidR="00CA6317" w14:paraId="41530F1C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E13FA" w14:textId="77777777" w:rsidR="00CA6317" w:rsidRDefault="00CA6317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2262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ClientHandler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0C4CB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A8C9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16051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8D1E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5F08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29BE2" w14:textId="77777777" w:rsidR="00CA6317" w:rsidRDefault="00CA6317" w:rsidP="0008140B"/>
        </w:tc>
      </w:tr>
      <w:tr w:rsidR="00CA6317" w14:paraId="4E78E02C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76F21" w14:textId="77777777" w:rsidR="00CA6317" w:rsidRDefault="00CA6317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3.1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032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createClientHandler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CC68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3A3AD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DAEC" w14:textId="77777777" w:rsidR="00CA6317" w:rsidRDefault="00CA6317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1,2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5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BEC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51F5" w14:textId="77777777" w:rsidR="00CA6317" w:rsidRDefault="00CA6317" w:rsidP="0008140B"/>
        </w:tc>
      </w:tr>
      <w:tr w:rsidR="00CA6317" w14:paraId="40323AE2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CC5B" w14:textId="77777777" w:rsidR="00CA6317" w:rsidRDefault="00CA6317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3.2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886C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listenForMessages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E08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04DEC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A170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152D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32A94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3155" w14:textId="77777777" w:rsidR="00CA6317" w:rsidRDefault="00CA6317" w:rsidP="0008140B"/>
        </w:tc>
      </w:tr>
      <w:tr w:rsidR="00CA6317" w14:paraId="25E7F66C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9C1FF" w14:textId="77777777" w:rsidR="00CA6317" w:rsidRDefault="00CA6317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3.3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41E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broadCastMessage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2FB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3FD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F65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310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006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8353" w14:textId="77777777" w:rsidR="00CA6317" w:rsidRDefault="00CA6317" w:rsidP="0008140B"/>
        </w:tc>
      </w:tr>
      <w:tr w:rsidR="00CA6317" w14:paraId="64E670AA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5CF5" w14:textId="77777777" w:rsidR="00CA6317" w:rsidRDefault="00CA6317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3.4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C070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removeClientHandler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AA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9CB9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876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B0D3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3441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4E59" w14:textId="77777777" w:rsidR="00CA6317" w:rsidRDefault="00CA6317" w:rsidP="0008140B"/>
        </w:tc>
      </w:tr>
      <w:tr w:rsidR="00CA6317" w14:paraId="45FB3C07" w14:textId="77777777" w:rsidTr="00CA63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1CC5" w14:textId="77777777" w:rsidR="00CA6317" w:rsidRDefault="00CA6317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3.5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5AAC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CloseEverything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506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975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4D6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F94D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D2BEF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01B4" w14:textId="77777777" w:rsidR="00FE40A8" w:rsidRDefault="00FE40A8" w:rsidP="00E602EC">
      <w:pPr>
        <w:spacing w:after="0" w:line="240" w:lineRule="auto"/>
      </w:pPr>
      <w:r>
        <w:separator/>
      </w:r>
    </w:p>
  </w:endnote>
  <w:endnote w:type="continuationSeparator" w:id="0">
    <w:p w14:paraId="33B52883" w14:textId="77777777" w:rsidR="00FE40A8" w:rsidRDefault="00FE40A8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CF7B" w14:textId="77777777" w:rsidR="00FE40A8" w:rsidRDefault="00FE40A8" w:rsidP="00E602EC">
      <w:pPr>
        <w:spacing w:after="0" w:line="240" w:lineRule="auto"/>
      </w:pPr>
      <w:r>
        <w:separator/>
      </w:r>
    </w:p>
  </w:footnote>
  <w:footnote w:type="continuationSeparator" w:id="0">
    <w:p w14:paraId="0351606C" w14:textId="77777777" w:rsidR="00FE40A8" w:rsidRDefault="00FE40A8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E1E39"/>
    <w:rsid w:val="00106EF4"/>
    <w:rsid w:val="001249FB"/>
    <w:rsid w:val="001513A5"/>
    <w:rsid w:val="00165AB3"/>
    <w:rsid w:val="0017670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D0E"/>
    <w:rsid w:val="00277086"/>
    <w:rsid w:val="00286057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9D39E1"/>
    <w:rsid w:val="00A05148"/>
    <w:rsid w:val="00A07803"/>
    <w:rsid w:val="00A31A53"/>
    <w:rsid w:val="00A31C13"/>
    <w:rsid w:val="00A41570"/>
    <w:rsid w:val="00A432A1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7ACD"/>
    <w:rsid w:val="00CE26A1"/>
    <w:rsid w:val="00CF0841"/>
    <w:rsid w:val="00CF115F"/>
    <w:rsid w:val="00CF15EF"/>
    <w:rsid w:val="00CF7353"/>
    <w:rsid w:val="00D02080"/>
    <w:rsid w:val="00D247D7"/>
    <w:rsid w:val="00D47B55"/>
    <w:rsid w:val="00D51169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81BCC"/>
    <w:rsid w:val="00F96170"/>
    <w:rsid w:val="00FA37E0"/>
    <w:rsid w:val="00FA6D79"/>
    <w:rsid w:val="00FB3E08"/>
    <w:rsid w:val="00FB5930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2340</Words>
  <Characters>14744</Characters>
  <Application>Microsoft Office Word</Application>
  <DocSecurity>0</DocSecurity>
  <Lines>122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Felix Bernardi</cp:lastModifiedBy>
  <cp:revision>39</cp:revision>
  <cp:lastPrinted>2017-04-24T06:35:00Z</cp:lastPrinted>
  <dcterms:created xsi:type="dcterms:W3CDTF">2019-09-12T10:26:00Z</dcterms:created>
  <dcterms:modified xsi:type="dcterms:W3CDTF">2022-04-24T20:18:00Z</dcterms:modified>
</cp:coreProperties>
</file>