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92F" w:rsidRDefault="00AC3DA9" w:rsidP="00297716">
      <w:pPr>
        <w:pStyle w:val="1"/>
      </w:pPr>
      <w:r>
        <w:rPr>
          <w:rFonts w:hint="eastAsia"/>
        </w:rPr>
        <w:t>POCT</w:t>
      </w:r>
      <w:r w:rsidR="008623E6">
        <w:rPr>
          <w:rFonts w:hint="eastAsia"/>
        </w:rPr>
        <w:t>利基</w:t>
      </w:r>
    </w:p>
    <w:p w:rsidR="00297716" w:rsidRDefault="001B5C7C" w:rsidP="00297716">
      <w:r>
        <w:object w:dxaOrig="12614"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51.8pt" o:ole="">
            <v:imagedata r:id="rId7" o:title=""/>
          </v:shape>
          <o:OLEObject Type="Embed" ProgID="Visio.Drawing.11" ShapeID="_x0000_i1025" DrawAspect="Content" ObjectID="_1662456098" r:id="rId8"/>
        </w:object>
      </w:r>
    </w:p>
    <w:p w:rsidR="00F803C8" w:rsidRDefault="00F803C8" w:rsidP="00F803C8"/>
    <w:p w:rsidR="00E67A14" w:rsidRDefault="00E67A14" w:rsidP="00F803C8"/>
    <w:p w:rsidR="00E67A14" w:rsidRDefault="00E67A14" w:rsidP="00E67A14">
      <w:pPr>
        <w:pStyle w:val="2"/>
      </w:pPr>
      <w:r>
        <w:rPr>
          <w:rFonts w:hint="eastAsia"/>
        </w:rPr>
        <w:t>零、行业</w:t>
      </w:r>
      <w:r>
        <w:t>基础知识</w:t>
      </w:r>
    </w:p>
    <w:p w:rsidR="00942BA3" w:rsidRDefault="00BF7086" w:rsidP="00F803C8">
      <w:pPr>
        <w:rPr>
          <w:b/>
          <w:color w:val="FF0000"/>
        </w:rPr>
      </w:pPr>
      <w:r>
        <w:rPr>
          <w:rFonts w:hint="eastAsia"/>
          <w:b/>
          <w:color w:val="FF0000"/>
        </w:rPr>
        <w:t>技术分类</w:t>
      </w:r>
      <w:r>
        <w:rPr>
          <w:b/>
          <w:color w:val="FF0000"/>
        </w:rPr>
        <w:t>：</w:t>
      </w:r>
    </w:p>
    <w:p w:rsidR="00BF7086" w:rsidRPr="00BF7086" w:rsidRDefault="00BF7086" w:rsidP="00F803C8">
      <w:pPr>
        <w:rPr>
          <w:b/>
          <w:color w:val="FF0000"/>
        </w:rPr>
      </w:pPr>
      <w:r>
        <w:t>体外诊断试剂按照医学检验项目和采取的技术方法，主要划分为</w:t>
      </w:r>
      <w:r w:rsidRPr="00BF7086">
        <w:rPr>
          <w:color w:val="FF0000"/>
        </w:rPr>
        <w:t>生化诊断试剂、免疫诊断试剂、分子诊断试剂、血液学和体液学诊断试剂、微生物学诊断试剂、组织细胞学诊断试剂、遗传性疾病诊断试剂和其他类试剂</w:t>
      </w:r>
      <w:r>
        <w:t>。目前国内市场上</w:t>
      </w:r>
      <w:r>
        <w:t xml:space="preserve"> </w:t>
      </w:r>
      <w:r>
        <w:t>所应用的体外诊断试剂主要包括</w:t>
      </w:r>
      <w:r w:rsidRPr="00BF7086">
        <w:rPr>
          <w:color w:val="FF0000"/>
        </w:rPr>
        <w:t>生化诊断试剂、免疫诊断试剂和分子诊断试剂</w:t>
      </w:r>
      <w:r>
        <w:t>。</w:t>
      </w:r>
      <w:r>
        <w:t xml:space="preserve"> </w:t>
      </w:r>
      <w:r>
        <w:t>生化诊断试剂和免疫诊断试剂目前市场份额较大，分子诊断试剂是诊断试剂中技</w:t>
      </w:r>
      <w:r>
        <w:t xml:space="preserve"> </w:t>
      </w:r>
      <w:r>
        <w:t>术最先进、增长最快的类别。</w:t>
      </w:r>
    </w:p>
    <w:p w:rsidR="003338CC" w:rsidRDefault="003338CC" w:rsidP="00F803C8"/>
    <w:p w:rsidR="0054495B" w:rsidRDefault="005C7054" w:rsidP="00F803C8">
      <w:r>
        <w:rPr>
          <w:noProof/>
        </w:rPr>
        <w:lastRenderedPageBreak/>
        <w:drawing>
          <wp:inline distT="0" distB="0" distL="0" distR="0" wp14:anchorId="16120882">
            <wp:extent cx="5792626" cy="601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3786" cy="6021006"/>
                    </a:xfrm>
                    <a:prstGeom prst="rect">
                      <a:avLst/>
                    </a:prstGeom>
                    <a:noFill/>
                  </pic:spPr>
                </pic:pic>
              </a:graphicData>
            </a:graphic>
          </wp:inline>
        </w:drawing>
      </w:r>
    </w:p>
    <w:p w:rsidR="0054495B" w:rsidRDefault="0054495B" w:rsidP="00F803C8"/>
    <w:p w:rsidR="0054495B" w:rsidRDefault="0054495B" w:rsidP="00F803C8"/>
    <w:p w:rsidR="00F803C8" w:rsidRDefault="001B5C7C" w:rsidP="00F9070E">
      <w:pPr>
        <w:pStyle w:val="2"/>
        <w:numPr>
          <w:ilvl w:val="0"/>
          <w:numId w:val="3"/>
        </w:numPr>
      </w:pPr>
      <w:r>
        <w:rPr>
          <w:rFonts w:hint="eastAsia"/>
        </w:rPr>
        <w:t>相关</w:t>
      </w:r>
      <w:r>
        <w:t>宏观经济</w:t>
      </w:r>
    </w:p>
    <w:p w:rsidR="00F9070E" w:rsidRDefault="00F9070E" w:rsidP="00F9070E"/>
    <w:p w:rsidR="00D2290B" w:rsidRDefault="0029738B" w:rsidP="00F9070E">
      <w:r>
        <w:t>体外诊断试剂和体外诊断仪器共同组成体外诊断系统，其中，体外诊断试剂为易耗品。试剂与仪器配套使用分为</w:t>
      </w:r>
      <w:r>
        <w:t>“</w:t>
      </w:r>
      <w:r w:rsidRPr="0029738B">
        <w:rPr>
          <w:color w:val="FF0000"/>
        </w:rPr>
        <w:t>开放系统</w:t>
      </w:r>
      <w:r>
        <w:t>”</w:t>
      </w:r>
      <w:r>
        <w:t>与</w:t>
      </w:r>
      <w:r>
        <w:t>“</w:t>
      </w:r>
      <w:r w:rsidRPr="0029738B">
        <w:rPr>
          <w:color w:val="FF0000"/>
        </w:rPr>
        <w:t>封闭系统</w:t>
      </w:r>
      <w:r>
        <w:t>”</w:t>
      </w:r>
      <w:r>
        <w:t>两种模式，开</w:t>
      </w:r>
      <w:r>
        <w:t xml:space="preserve"> </w:t>
      </w:r>
      <w:r>
        <w:t>放系统是指在诊断仪器上可使用不同厂商、不同型号的诊断试剂，而封闭系统则</w:t>
      </w:r>
      <w:r>
        <w:t xml:space="preserve"> </w:t>
      </w:r>
      <w:r>
        <w:t>是仪器与指定的试剂一一对应。</w:t>
      </w:r>
    </w:p>
    <w:p w:rsidR="00BD517F" w:rsidRDefault="00BD517F" w:rsidP="00F9070E"/>
    <w:p w:rsidR="00BD517F" w:rsidRDefault="00BD517F" w:rsidP="00F9070E">
      <w:r>
        <w:t>体外诊断在疾病预防、诊断、监测以及指导治疗的全过程中发挥着极其重要</w:t>
      </w:r>
      <w:r>
        <w:t xml:space="preserve"> </w:t>
      </w:r>
      <w:r>
        <w:t>的作用，是现代疾病与健康管理不可或缺的工具。近年来，在各种新技术迅速发</w:t>
      </w:r>
      <w:r>
        <w:t xml:space="preserve"> </w:t>
      </w:r>
      <w:r>
        <w:t>展以及大部分国家医疗保障政策逐渐完善的环境下，体外诊断行业得到了快速发</w:t>
      </w:r>
      <w:r>
        <w:t xml:space="preserve"> </w:t>
      </w:r>
      <w:r>
        <w:t>展，已成为医疗市场最活跃并且</w:t>
      </w:r>
      <w:r>
        <w:lastRenderedPageBreak/>
        <w:t>发展最快的行业之一。</w:t>
      </w:r>
    </w:p>
    <w:p w:rsidR="00BD517F" w:rsidRDefault="00BD517F" w:rsidP="00F9070E"/>
    <w:p w:rsidR="00BD517F" w:rsidRDefault="00BD517F" w:rsidP="00F9070E">
      <w:r>
        <w:t xml:space="preserve">20 </w:t>
      </w:r>
      <w:r>
        <w:t>世纪</w:t>
      </w:r>
      <w:r>
        <w:t xml:space="preserve"> 80 </w:t>
      </w:r>
      <w:r>
        <w:t>年代以来，随着科学技术的快速发展，尤其是现代生物技术、单克隆抗体技术、微电子处理器、光化学等方面的重要突破，全球体外诊断行业先</w:t>
      </w:r>
      <w:r>
        <w:t xml:space="preserve"> </w:t>
      </w:r>
      <w:r>
        <w:t>后经历了</w:t>
      </w:r>
      <w:r>
        <w:t>“</w:t>
      </w:r>
      <w:r>
        <w:t>生化、酶、免疫测定、分子诊断</w:t>
      </w:r>
      <w:r>
        <w:t>”</w:t>
      </w:r>
      <w:r>
        <w:t>四次革命，度过了起步期和成长初</w:t>
      </w:r>
      <w:r>
        <w:t xml:space="preserve"> </w:t>
      </w:r>
      <w:r>
        <w:t>期，已形成了一个价值数百亿美元的成熟产业。</w:t>
      </w:r>
    </w:p>
    <w:p w:rsidR="00D2290B" w:rsidRDefault="00D2290B" w:rsidP="00F9070E"/>
    <w:p w:rsidR="00E86BE3" w:rsidRDefault="008321E6" w:rsidP="00F9070E">
      <w:r>
        <w:t xml:space="preserve">2014 </w:t>
      </w:r>
      <w:r>
        <w:t>年全球体外诊断市场中，免疫诊断占</w:t>
      </w:r>
      <w:r>
        <w:t xml:space="preserve"> 23%</w:t>
      </w:r>
      <w:r>
        <w:t>，生化诊断占</w:t>
      </w:r>
      <w:r>
        <w:t xml:space="preserve"> 17%</w:t>
      </w:r>
      <w:r>
        <w:t>，分子诊断占</w:t>
      </w:r>
      <w:r>
        <w:t xml:space="preserve"> 11%</w:t>
      </w:r>
      <w:r>
        <w:t>，血液诊断占</w:t>
      </w:r>
      <w:r>
        <w:t xml:space="preserve"> 10%</w:t>
      </w:r>
      <w:r>
        <w:t>，其他占</w:t>
      </w:r>
      <w:r>
        <w:t xml:space="preserve"> 39%</w:t>
      </w:r>
      <w:r>
        <w:t>，免疫诊断和生化诊断占比较高。</w:t>
      </w:r>
    </w:p>
    <w:p w:rsidR="00FB730C" w:rsidRDefault="00FB730C" w:rsidP="00F9070E">
      <w:bookmarkStart w:id="0" w:name="_GoBack"/>
      <w:bookmarkEnd w:id="0"/>
      <w:r>
        <w:t>按照诊断方式分，</w:t>
      </w:r>
      <w:r>
        <w:t xml:space="preserve">2018 </w:t>
      </w:r>
      <w:r>
        <w:t>年全球体外诊断市场中免疫诊断占</w:t>
      </w:r>
      <w:r>
        <w:t xml:space="preserve"> 32.50%</w:t>
      </w:r>
      <w:r>
        <w:t>、生化诊断</w:t>
      </w:r>
      <w:r>
        <w:t xml:space="preserve"> </w:t>
      </w:r>
      <w:r>
        <w:t>占</w:t>
      </w:r>
      <w:r>
        <w:t xml:space="preserve"> 23.69%</w:t>
      </w:r>
      <w:r>
        <w:t>、分子诊断占</w:t>
      </w:r>
      <w:r>
        <w:t xml:space="preserve"> 14.68%</w:t>
      </w:r>
      <w:r>
        <w:t>，免疫诊断和生化诊断合计占比约</w:t>
      </w:r>
      <w:r>
        <w:t xml:space="preserve"> 56.19%</w:t>
      </w:r>
      <w:r>
        <w:t>。免疫诊断是近年来我</w:t>
      </w:r>
      <w:r>
        <w:t xml:space="preserve"> </w:t>
      </w:r>
      <w:r>
        <w:t>国体外诊断领域规模最大、新增品种多、增长速度快的领域。</w:t>
      </w:r>
    </w:p>
    <w:p w:rsidR="00FB730C" w:rsidRDefault="00FB730C" w:rsidP="00F9070E">
      <w:pPr>
        <w:rPr>
          <w:rFonts w:hint="eastAsia"/>
        </w:rPr>
      </w:pPr>
    </w:p>
    <w:p w:rsidR="00D2290B" w:rsidRPr="00F9070E" w:rsidRDefault="00E86BE3" w:rsidP="00F9070E">
      <w:r>
        <w:t xml:space="preserve">2014 </w:t>
      </w:r>
      <w:r>
        <w:t>年我国</w:t>
      </w:r>
      <w:r>
        <w:t xml:space="preserve"> </w:t>
      </w:r>
      <w:r>
        <w:t>体外诊断行业中市场份额最大的是免疫诊断，占比</w:t>
      </w:r>
      <w:r>
        <w:t xml:space="preserve"> 38%</w:t>
      </w:r>
      <w:r>
        <w:t>，生化诊断和分子诊断占</w:t>
      </w:r>
      <w:r>
        <w:t xml:space="preserve"> </w:t>
      </w:r>
      <w:r>
        <w:t>比分别为</w:t>
      </w:r>
      <w:r>
        <w:t xml:space="preserve"> 19%</w:t>
      </w:r>
      <w:r>
        <w:t>和</w:t>
      </w:r>
      <w:r>
        <w:t xml:space="preserve"> 15%</w:t>
      </w:r>
      <w:r>
        <w:t>，其他占比</w:t>
      </w:r>
      <w:r>
        <w:t xml:space="preserve"> 28%</w:t>
      </w:r>
      <w:r>
        <w:t>。</w:t>
      </w:r>
    </w:p>
    <w:p w:rsidR="00F803C8" w:rsidRDefault="001B5C7C" w:rsidP="00F9070E">
      <w:pPr>
        <w:pStyle w:val="2"/>
        <w:numPr>
          <w:ilvl w:val="0"/>
          <w:numId w:val="3"/>
        </w:numPr>
      </w:pPr>
      <w:r>
        <w:rPr>
          <w:rFonts w:hint="eastAsia"/>
        </w:rPr>
        <w:t>市场结构</w:t>
      </w:r>
      <w:r>
        <w:t>分析</w:t>
      </w:r>
    </w:p>
    <w:p w:rsidR="00592FB2" w:rsidRDefault="00592FB2" w:rsidP="00F9070E">
      <w:r>
        <w:t>从应用领域看，</w:t>
      </w:r>
      <w:r>
        <w:t xml:space="preserve">POCT </w:t>
      </w:r>
      <w:r>
        <w:t>产品可应用于临床检验、慢病监测、应急反恐、灾害</w:t>
      </w:r>
      <w:r>
        <w:t xml:space="preserve"> </w:t>
      </w:r>
      <w:r>
        <w:t>医学救援、传染病监测、检验检疫、食品安全、毒品检验等公共卫生领域。</w:t>
      </w:r>
      <w:r>
        <w:t xml:space="preserve"> </w:t>
      </w:r>
    </w:p>
    <w:p w:rsidR="00FD1BEB" w:rsidRDefault="00592FB2" w:rsidP="00F9070E">
      <w:r>
        <w:t>从应用场所看，</w:t>
      </w:r>
      <w:r>
        <w:t xml:space="preserve">POCT </w:t>
      </w:r>
      <w:r>
        <w:t>产品可出现在多种场合，包括大型医院的病房、门诊、</w:t>
      </w:r>
      <w:r>
        <w:t xml:space="preserve"> </w:t>
      </w:r>
      <w:r>
        <w:t>急诊、检验科、手术室、监护室；基层医院、社区门诊和私人诊所；体检中心；</w:t>
      </w:r>
      <w:r>
        <w:t xml:space="preserve"> </w:t>
      </w:r>
      <w:r>
        <w:t>卫生服务中心、疾病预防控制中心、灾害医学救援现场、食品安全检测现场、环</w:t>
      </w:r>
      <w:r>
        <w:t xml:space="preserve"> </w:t>
      </w:r>
      <w:r>
        <w:t>境保护现场；海关检疫、违禁药品快速筛查；法医学现场；生物反恐现场等。</w:t>
      </w:r>
    </w:p>
    <w:p w:rsidR="00592FB2" w:rsidRDefault="00592FB2" w:rsidP="00F9070E"/>
    <w:p w:rsidR="00887CB7" w:rsidRDefault="00887CB7" w:rsidP="00F9070E">
      <w:r>
        <w:t xml:space="preserve">POCT </w:t>
      </w:r>
      <w:r>
        <w:t>市场在过去</w:t>
      </w:r>
      <w:r>
        <w:t xml:space="preserve"> 5 </w:t>
      </w:r>
      <w:r>
        <w:t>年中发展迅速，</w:t>
      </w:r>
      <w:r>
        <w:t xml:space="preserve">2013 </w:t>
      </w:r>
      <w:r>
        <w:t>年规模已达</w:t>
      </w:r>
      <w:r>
        <w:t xml:space="preserve"> 160 </w:t>
      </w:r>
      <w:r>
        <w:t>亿美元，</w:t>
      </w:r>
      <w:r>
        <w:t xml:space="preserve">POCT </w:t>
      </w:r>
      <w:r>
        <w:t>市场在</w:t>
      </w:r>
      <w:r>
        <w:t xml:space="preserve"> 2013-2018 </w:t>
      </w:r>
      <w:r>
        <w:t>年间将保持在</w:t>
      </w:r>
      <w:r>
        <w:t xml:space="preserve"> 8%</w:t>
      </w:r>
      <w:r>
        <w:t>的年复合增长率，预计</w:t>
      </w:r>
      <w:r>
        <w:t xml:space="preserve"> 2018 </w:t>
      </w:r>
      <w:r>
        <w:t>年增至</w:t>
      </w:r>
      <w:r>
        <w:t xml:space="preserve"> 240 </w:t>
      </w:r>
      <w:r>
        <w:t>亿美元的市场规模。</w:t>
      </w:r>
    </w:p>
    <w:p w:rsidR="00592FB2" w:rsidRDefault="00592FB2" w:rsidP="00F9070E"/>
    <w:p w:rsidR="00887CB7" w:rsidRDefault="00887CB7" w:rsidP="00F9070E">
      <w:r>
        <w:rPr>
          <w:rFonts w:hint="eastAsia"/>
          <w:noProof/>
        </w:rPr>
        <w:drawing>
          <wp:inline distT="0" distB="0" distL="0" distR="0">
            <wp:extent cx="5067300" cy="29489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2948940"/>
                    </a:xfrm>
                    <a:prstGeom prst="rect">
                      <a:avLst/>
                    </a:prstGeom>
                    <a:noFill/>
                    <a:ln>
                      <a:noFill/>
                    </a:ln>
                  </pic:spPr>
                </pic:pic>
              </a:graphicData>
            </a:graphic>
          </wp:inline>
        </w:drawing>
      </w:r>
    </w:p>
    <w:p w:rsidR="00887CB7" w:rsidRDefault="00887CB7" w:rsidP="00F9070E"/>
    <w:p w:rsidR="00887CB7" w:rsidRDefault="00887CB7" w:rsidP="00F9070E">
      <w:r>
        <w:lastRenderedPageBreak/>
        <w:t xml:space="preserve">2013 </w:t>
      </w:r>
      <w:r>
        <w:t>年我国</w:t>
      </w:r>
      <w:r>
        <w:t xml:space="preserve"> POCT </w:t>
      </w:r>
      <w:r>
        <w:t>市场规模为</w:t>
      </w:r>
      <w:r>
        <w:t xml:space="preserve"> 4.8 </w:t>
      </w:r>
      <w:r>
        <w:t>亿美元。随着医改的推进和对社区医疗体系的</w:t>
      </w:r>
      <w:r>
        <w:t xml:space="preserve"> </w:t>
      </w:r>
      <w:r>
        <w:t>建立，我国</w:t>
      </w:r>
      <w:r>
        <w:t xml:space="preserve"> POCT </w:t>
      </w:r>
      <w:r>
        <w:t>市场未来几年将保持</w:t>
      </w:r>
      <w:r>
        <w:t xml:space="preserve"> 20%</w:t>
      </w:r>
      <w:r>
        <w:t>的年复合增长率，预计到</w:t>
      </w:r>
      <w:r>
        <w:t xml:space="preserve"> 2018 </w:t>
      </w:r>
      <w:r>
        <w:t>年，</w:t>
      </w:r>
      <w:r>
        <w:t xml:space="preserve"> </w:t>
      </w:r>
      <w:r>
        <w:t>我国</w:t>
      </w:r>
      <w:r>
        <w:t xml:space="preserve"> POCT </w:t>
      </w:r>
      <w:r>
        <w:t>市场规模可达</w:t>
      </w:r>
      <w:r>
        <w:t xml:space="preserve"> 14.3 </w:t>
      </w:r>
      <w:r>
        <w:t>亿美元。</w:t>
      </w:r>
    </w:p>
    <w:p w:rsidR="00887CB7" w:rsidRPr="00F9070E" w:rsidRDefault="00887CB7" w:rsidP="00F9070E"/>
    <w:p w:rsidR="00F803C8" w:rsidRDefault="00F803C8" w:rsidP="00F803C8">
      <w:pPr>
        <w:pStyle w:val="2"/>
      </w:pPr>
      <w:r>
        <w:rPr>
          <w:rFonts w:hint="eastAsia"/>
        </w:rPr>
        <w:t>三</w:t>
      </w:r>
      <w:r>
        <w:t>、</w:t>
      </w:r>
      <w:r w:rsidR="001B5C7C">
        <w:rPr>
          <w:rFonts w:hint="eastAsia"/>
        </w:rPr>
        <w:t>行业内</w:t>
      </w:r>
      <w:r w:rsidR="001B5C7C">
        <w:t>竞争对手分析</w:t>
      </w:r>
    </w:p>
    <w:p w:rsidR="002A4E12" w:rsidRDefault="002A4E12" w:rsidP="00F803C8">
      <w:pPr>
        <w:pStyle w:val="a3"/>
        <w:spacing w:before="0" w:beforeAutospacing="0" w:after="0" w:afterAutospacing="0"/>
      </w:pPr>
      <w:r>
        <w:t xml:space="preserve">1、全球市场竞争情况 </w:t>
      </w:r>
    </w:p>
    <w:p w:rsidR="002A4E12" w:rsidRDefault="002A4E12" w:rsidP="002A4E12">
      <w:pPr>
        <w:pStyle w:val="a3"/>
        <w:spacing w:before="0" w:beforeAutospacing="0" w:after="0" w:afterAutospacing="0"/>
        <w:ind w:firstLineChars="200" w:firstLine="480"/>
      </w:pPr>
      <w:r>
        <w:t xml:space="preserve">经过多年发展，全球体外诊断已成为拥有数百亿美元庞大市场容量的朝阳行 业，产业发展成熟，市场集中度较高，形成了一批著名跨国企业集团，主要代表 企业有瑞士 Roche（罗氏）、美国 Abbott（雅培）、美国 Alere（美艾利尔）、丹麦 Radiometer（雷度米特）等。 </w:t>
      </w:r>
    </w:p>
    <w:p w:rsidR="002A4E12" w:rsidRDefault="002A4E12" w:rsidP="002A4E12">
      <w:pPr>
        <w:pStyle w:val="a3"/>
        <w:spacing w:before="0" w:beforeAutospacing="0" w:after="0" w:afterAutospacing="0"/>
        <w:ind w:firstLineChars="200" w:firstLine="480"/>
      </w:pPr>
      <w:r>
        <w:t xml:space="preserve">瑞士 Roche（罗氏）：成立于 1896 年，总部位于瑞士巴塞尔。Roche 是体外 诊断和基于组织的肿瘤诊断的市场领导者，也是糖尿病管理领域的先驱者。2014 年，罗氏全球员工总数超过 88,500 名，研发投资逾 89 亿瑞士法郎，销售额达 475 亿瑞士法郎。 </w:t>
      </w:r>
    </w:p>
    <w:p w:rsidR="002A4E12" w:rsidRDefault="002A4E12" w:rsidP="002A4E12">
      <w:pPr>
        <w:pStyle w:val="a3"/>
        <w:spacing w:before="0" w:beforeAutospacing="0" w:after="0" w:afterAutospacing="0"/>
        <w:ind w:firstLineChars="200" w:firstLine="480"/>
      </w:pPr>
      <w:r>
        <w:t xml:space="preserve">美国 Abbott（雅培）：成立于 1888 年，总部位于美国芝加哥。Abbott 业务涵 盖医药的研究、生产、销售以及疾病的预防、诊断和治疗。致力于糖尿病、各种 疼痛、呼吸道感染、HIV、男女健康、妇幼保健、兽病等方面的研究，在医药、 营养学和医疗器械生产的领域中占据领导地位。 </w:t>
      </w:r>
    </w:p>
    <w:p w:rsidR="002A4E12" w:rsidRDefault="002A4E12" w:rsidP="002A4E12">
      <w:pPr>
        <w:pStyle w:val="a3"/>
        <w:spacing w:before="0" w:beforeAutospacing="0" w:after="0" w:afterAutospacing="0"/>
        <w:ind w:firstLineChars="200" w:firstLine="480"/>
      </w:pPr>
      <w:r>
        <w:t xml:space="preserve">美国 Alere（美艾利尔）：成立于 1975 年，总部位于美国波士顿。Alere 公司 是全球领先的健康诊断产品和健康诊断管理方案的提供者，拥有 2 万名左右的员 工以及超过 800 人的研发团队，在全球拥有超过 50 家的分支机构。Alere 公司产 品集中在心血管、妇女健康、传染性疾病、药物滥用、肿瘤等 5 大领域。 </w:t>
      </w:r>
    </w:p>
    <w:p w:rsidR="004629CD" w:rsidRDefault="002A4E12" w:rsidP="002A4E12">
      <w:pPr>
        <w:pStyle w:val="a3"/>
        <w:spacing w:before="0" w:beforeAutospacing="0" w:after="0" w:afterAutospacing="0"/>
        <w:ind w:firstLineChars="200" w:firstLine="480"/>
        <w:rPr>
          <w:rFonts w:ascii="Helvetica" w:eastAsiaTheme="minorEastAsia" w:hAnsi="Helvetica" w:cs="Helvetica"/>
          <w:color w:val="33353C"/>
          <w:kern w:val="2"/>
          <w:sz w:val="21"/>
          <w:szCs w:val="21"/>
        </w:rPr>
      </w:pPr>
      <w:r>
        <w:t>丹麦 Radiometer（雷度米特）：成立于 1935 年，总部位于丹麦哥本哈根。 Radiometer 公司是全球领先的危急症解决方案提供商，在全球拥有超过 2700 名 员工，并在 30 个国家直接设有分公司。Radiometer 公司的产品涵盖血液采样、 血气分析、经皮监测、免疫检测以及相关 IT 管理系统等。</w:t>
      </w:r>
    </w:p>
    <w:p w:rsidR="004629CD" w:rsidRPr="004629CD" w:rsidRDefault="004629CD" w:rsidP="00F803C8">
      <w:pPr>
        <w:pStyle w:val="a3"/>
        <w:spacing w:before="0" w:beforeAutospacing="0" w:after="0" w:afterAutospacing="0"/>
        <w:rPr>
          <w:rFonts w:ascii="Helvetica" w:eastAsiaTheme="minorEastAsia" w:hAnsi="Helvetica" w:cs="Helvetica"/>
          <w:color w:val="33353C"/>
          <w:kern w:val="2"/>
          <w:sz w:val="21"/>
          <w:szCs w:val="21"/>
        </w:rPr>
      </w:pPr>
    </w:p>
    <w:p w:rsidR="00CB4050" w:rsidRDefault="00CB4050" w:rsidP="00F803C8">
      <w:pPr>
        <w:pStyle w:val="a3"/>
        <w:spacing w:before="0" w:beforeAutospacing="0" w:after="0" w:afterAutospacing="0"/>
      </w:pPr>
      <w:r>
        <w:t xml:space="preserve">2、国内市场竞争情况 </w:t>
      </w:r>
    </w:p>
    <w:p w:rsidR="00CB4050" w:rsidRDefault="00CB4050" w:rsidP="00CB4050">
      <w:pPr>
        <w:pStyle w:val="a3"/>
        <w:spacing w:before="0" w:beforeAutospacing="0" w:after="0" w:afterAutospacing="0"/>
        <w:ind w:firstLineChars="200" w:firstLine="480"/>
      </w:pPr>
      <w:r>
        <w:t xml:space="preserve">我国体外诊断产业仍处于成长期，国内行业集中度较低，主要为试剂厂商， 且大部分为中小企业，产品品种少，厂家数量多。目前国内主要的 POCT 生产厂家主要有万孚生物、基蛋生物、瑞莱生物和本公司等。 </w:t>
      </w:r>
    </w:p>
    <w:p w:rsidR="00CB4050" w:rsidRDefault="00CB4050" w:rsidP="00CB4050">
      <w:pPr>
        <w:pStyle w:val="a3"/>
        <w:numPr>
          <w:ilvl w:val="0"/>
          <w:numId w:val="4"/>
        </w:numPr>
        <w:spacing w:before="0" w:beforeAutospacing="0" w:after="0" w:afterAutospacing="0"/>
      </w:pPr>
      <w:r>
        <w:t xml:space="preserve">万孚生物 </w:t>
      </w:r>
    </w:p>
    <w:p w:rsidR="000F6900" w:rsidRDefault="00CB4050" w:rsidP="00CB4050">
      <w:pPr>
        <w:pStyle w:val="a3"/>
        <w:spacing w:before="0" w:beforeAutospacing="0" w:after="0" w:afterAutospacing="0"/>
        <w:ind w:firstLineChars="200" w:firstLine="480"/>
        <w:rPr>
          <w:rFonts w:ascii="Helvetica" w:hAnsi="Helvetica" w:cs="Helvetica"/>
          <w:color w:val="33353C"/>
          <w:sz w:val="27"/>
          <w:szCs w:val="27"/>
        </w:rPr>
      </w:pPr>
      <w:r>
        <w:t>万孚生物成立于 1992 年，总部位于广州，注册资金 17,600 万元。万孚生物致力于体外诊断行业中快速检测 POCT 产品的研发、生产和销售，在毒品（滥用 药物）检测、传染病检测、妊娠及优生优育检测领域具有较强的优势。</w:t>
      </w:r>
    </w:p>
    <w:p w:rsidR="00641377" w:rsidRDefault="00CB4050" w:rsidP="00CB4050">
      <w:pPr>
        <w:pStyle w:val="a3"/>
        <w:spacing w:before="0" w:beforeAutospacing="0" w:after="0" w:afterAutospacing="0"/>
        <w:ind w:firstLineChars="200" w:firstLine="480"/>
        <w:rPr>
          <w:rFonts w:ascii="Helvetica" w:hAnsi="Helvetica" w:cs="Helvetica"/>
          <w:color w:val="33353C"/>
          <w:sz w:val="27"/>
          <w:szCs w:val="27"/>
        </w:rPr>
      </w:pPr>
      <w:r>
        <w:t>万孚生物 2016 年报对于公司技术研发及产品优势描述如下：“2011 年 11 月， 公司获国家发改委批准建设“自检型快速诊断国家地方联合工程实验室”，自检 型快速诊断国家地方联合工程实验室的建设将充分发挥本公司多年来在免疫快 速诊断方面的优势，促进彩色微球、诊断用单克隆抗体及基因工程重组抗原技术 在快速检测方面的应用，开发一系列具有灵敏度高、特异性强、定量准确、操作 方便的快速诊断产品。截至 2016 年 12 月 31 日，公司拥有</w:t>
      </w:r>
      <w:r>
        <w:lastRenderedPageBreak/>
        <w:t>专利 150 项，其中发 明专利 34 项，实用新型专利 66 项，外观设计 50 项；截至 2016 年 12 月 31 日， 公司有研发人员 269 名，占员工总人数的 22.64%，均是拥有生物化学、临床医 学、微电子技术等各方面知识的专业人士；截至 2016 年底，万孚生物已取得 60 项二类产品注册证书、39 项三类产品注册证书，横向涵盖了妊娠检测、传染病 检测、毒品检测、慢性病检测等应用领域，纵向涵盖了各级医院、社区门诊、卫 生院、OTC 药房以及疾病控制中心、公安、军队等特殊渠道，形成了对 POCT 市场全面纵深的覆盖。”</w:t>
      </w:r>
    </w:p>
    <w:p w:rsidR="000F6900" w:rsidRDefault="00CB4050" w:rsidP="00F803C8">
      <w:pPr>
        <w:pStyle w:val="a3"/>
        <w:spacing w:before="0" w:beforeAutospacing="0" w:after="0" w:afterAutospacing="0"/>
        <w:rPr>
          <w:color w:val="000000"/>
          <w:sz w:val="21"/>
          <w:szCs w:val="21"/>
        </w:rPr>
      </w:pPr>
      <w:r>
        <w:t>（2）基蛋生物</w:t>
      </w:r>
    </w:p>
    <w:p w:rsidR="00CB4050" w:rsidRDefault="00CB4050" w:rsidP="00CB4050">
      <w:pPr>
        <w:pStyle w:val="a3"/>
        <w:spacing w:before="0" w:beforeAutospacing="0" w:after="0" w:afterAutospacing="0"/>
        <w:ind w:firstLineChars="200" w:firstLine="480"/>
        <w:rPr>
          <w:color w:val="000000"/>
          <w:sz w:val="21"/>
          <w:szCs w:val="21"/>
        </w:rPr>
      </w:pPr>
      <w:r>
        <w:t>基蛋生物成立于 2002 年，总部位于南京，注册资金 9,900 万元。基蛋生物 专业从事体外诊断试剂和医疗器械的研发、生产、销售，在心血管类、炎症类疾 病监测领域具有较强的优势。</w:t>
      </w:r>
    </w:p>
    <w:p w:rsidR="00CB4050" w:rsidRDefault="00CB4050" w:rsidP="00CB4050">
      <w:pPr>
        <w:pStyle w:val="a3"/>
        <w:spacing w:before="0" w:beforeAutospacing="0" w:after="0" w:afterAutospacing="0"/>
        <w:ind w:firstLineChars="200" w:firstLine="480"/>
      </w:pPr>
      <w:r>
        <w:t>基蛋生物招股说明书中对于公司技术研发及产品优势描述如下：“公司具有 技术平台优势，产品技术水平在国内处于较为领先的地位。公司通过自主研发， 掌握了多项原材料制备技术、免疫层析标记技术、试剂条抗基质干扰技术、多色 荧光免疫层析蛋白芯片技术、多试剂条存储及自动加载技术、转盘试剂卡缓存和 时序分配算法、自动化样本前处理和加样技术等多项体外诊断产品生产技术，从 而建立了胶体金免疫层析、荧光免疫层析、生化胶乳试剂、化学发光和诊断试剂 原材料开发五大技术平台。凭借对体外诊断行业不同层次的最终消费者差异化需求的深入理解，公司将多个用于检测不同指标的产品进行关联组合，为客户量身 打造了多指标组合的体外诊断产品系列。如公司推出的 NT-proBNP/cTnl（N-端 脑利钠肽前体/心血管肌钙蛋白）、CK-MB/cTnl/Myo（肌酸激酶同工酶/心血管肌 钙蛋白/肌红蛋白三合一）、hs-CRP-常规 CRP（全程 C 反应蛋白）等均是多指标 组合产品，可以同时满足多个疾病指标的检测，丰富了最终消费者的产品选择。 在产品平台方面，公司目前已经形成了多个产品平台，可满足心血管、炎症和肾 脏等多个疾病检测领域的需求，涵盖了各级医院、社区门诊、卫生院、实验室等 多个不同应用环境。”</w:t>
      </w:r>
    </w:p>
    <w:p w:rsidR="00CB4050" w:rsidRDefault="00CB4050" w:rsidP="00CB4050">
      <w:pPr>
        <w:pStyle w:val="a3"/>
        <w:spacing w:before="0" w:beforeAutospacing="0" w:after="0" w:afterAutospacing="0"/>
        <w:ind w:firstLineChars="200" w:firstLine="480"/>
        <w:rPr>
          <w:color w:val="000000"/>
          <w:sz w:val="21"/>
          <w:szCs w:val="21"/>
        </w:rPr>
      </w:pPr>
      <w:r>
        <w:t>（3）瑞莱生物</w:t>
      </w:r>
    </w:p>
    <w:p w:rsidR="00CB4050" w:rsidRDefault="00CB4050" w:rsidP="00CB4050">
      <w:pPr>
        <w:pStyle w:val="a3"/>
        <w:spacing w:before="0" w:beforeAutospacing="0" w:after="0" w:afterAutospacing="0"/>
        <w:ind w:firstLineChars="200" w:firstLine="480"/>
      </w:pPr>
      <w:r>
        <w:t>瑞莱生物成立于 2001 年，注册地为深圳，注册资金 519 万美元，投资总额 800 多万美元，是美国 ReLIA 生物科技公司在中国的独资企业。瑞莱生物主要从 事高新生物技术产品的研发及产业化生产，公司自主开发了 ReLIA 检验系统， 在国内率先建立拥有多项国际自主知识产权的 POCT 技术体系。 瑞莱生物主营产品为 POCT 快速诊断试剂，经过数十年的市场积累，其销售 业绩在近几年快速增长，已成为国内 POCT 产品的主要供应商之一，在医院、诊 所等机构用专业 POCT 产品领域尤其是心脏标志物检测领域取得较为明显的竞 争优势，在该细分行业内处领先地位。</w:t>
      </w:r>
    </w:p>
    <w:p w:rsidR="00CB4050" w:rsidRDefault="00CB4050" w:rsidP="00CB4050">
      <w:pPr>
        <w:pStyle w:val="a3"/>
        <w:spacing w:before="0" w:beforeAutospacing="0" w:after="0" w:afterAutospacing="0"/>
        <w:ind w:firstLineChars="200" w:firstLine="480"/>
      </w:pPr>
      <w:r>
        <w:rPr>
          <w:rFonts w:hint="eastAsia"/>
        </w:rPr>
        <w:t>(4)东方生物</w:t>
      </w:r>
    </w:p>
    <w:p w:rsidR="00CB4050" w:rsidRDefault="00CB4050" w:rsidP="00CB4050">
      <w:pPr>
        <w:pStyle w:val="a3"/>
        <w:spacing w:before="0" w:beforeAutospacing="0" w:after="0" w:afterAutospacing="0"/>
        <w:ind w:firstLineChars="200" w:firstLine="480"/>
      </w:pPr>
      <w:r>
        <w:rPr>
          <w:rFonts w:hint="eastAsia"/>
        </w:rPr>
        <w:t>(5)明德生物</w:t>
      </w:r>
    </w:p>
    <w:p w:rsidR="005B5B17" w:rsidRDefault="005B5B17" w:rsidP="00CB4050">
      <w:pPr>
        <w:pStyle w:val="a3"/>
        <w:spacing w:before="0" w:beforeAutospacing="0" w:after="0" w:afterAutospacing="0"/>
        <w:ind w:firstLineChars="200" w:firstLine="480"/>
        <w:rPr>
          <w:color w:val="000000"/>
          <w:sz w:val="21"/>
          <w:szCs w:val="21"/>
        </w:rPr>
      </w:pPr>
      <w:r>
        <w:rPr>
          <w:rFonts w:hint="eastAsia"/>
        </w:rPr>
        <w:t>(6)热景生物</w:t>
      </w:r>
    </w:p>
    <w:p w:rsidR="00F803C8" w:rsidRPr="006F449E" w:rsidRDefault="00F803C8" w:rsidP="00F803C8">
      <w:pPr>
        <w:pStyle w:val="2"/>
      </w:pPr>
      <w:r>
        <w:rPr>
          <w:rFonts w:hint="eastAsia"/>
        </w:rPr>
        <w:t>四</w:t>
      </w:r>
      <w:r>
        <w:t>、</w:t>
      </w:r>
      <w:r w:rsidR="001B5C7C">
        <w:rPr>
          <w:rFonts w:hint="eastAsia"/>
        </w:rPr>
        <w:t>发展趋势</w:t>
      </w:r>
      <w:r w:rsidR="001B5C7C">
        <w:t>及阶段</w:t>
      </w:r>
    </w:p>
    <w:p w:rsidR="00297716" w:rsidRDefault="00473D71" w:rsidP="00297716">
      <w:r>
        <w:t xml:space="preserve">POCT </w:t>
      </w:r>
      <w:r>
        <w:t>产品的应用非常广泛，从检测项目看，主要集中在血糖检测、血气和</w:t>
      </w:r>
      <w:r>
        <w:t xml:space="preserve"> </w:t>
      </w:r>
      <w:r>
        <w:t>电解质分析、快速血凝检测、心脏标志物快速诊断、药物滥用筛检、尿液分析、</w:t>
      </w:r>
      <w:r>
        <w:t xml:space="preserve"> </w:t>
      </w:r>
      <w:r>
        <w:t>干式生化检测、怀孕测试、粪便潜血血液分析、食品病原体筛查、血红蛋白检测、</w:t>
      </w:r>
      <w:r>
        <w:t xml:space="preserve"> </w:t>
      </w:r>
      <w:r>
        <w:t>传染病检测、甘油三酯和胆固醇等</w:t>
      </w:r>
      <w:r>
        <w:lastRenderedPageBreak/>
        <w:t>血脂项目的检测等项目。最近几年，血糖检验</w:t>
      </w:r>
      <w:r>
        <w:t xml:space="preserve"> </w:t>
      </w:r>
      <w:r>
        <w:t>类</w:t>
      </w:r>
      <w:r>
        <w:t xml:space="preserve"> POCT </w:t>
      </w:r>
      <w:r>
        <w:t>产品由于技术和商业推广都较为成熟，其需求占比有所下滑，但仍是</w:t>
      </w:r>
      <w:r>
        <w:t xml:space="preserve"> POCT </w:t>
      </w:r>
      <w:r>
        <w:t>主要市场；心脏标志物、传染性疾病和凝血类</w:t>
      </w:r>
      <w:r>
        <w:t xml:space="preserve"> POCT </w:t>
      </w:r>
      <w:r>
        <w:t>产品需求占比在稳步上升。</w:t>
      </w:r>
    </w:p>
    <w:p w:rsidR="00FC792D" w:rsidRDefault="00FC792D" w:rsidP="00297716"/>
    <w:p w:rsidR="00FC792D" w:rsidRPr="00977D3D" w:rsidRDefault="00FC792D" w:rsidP="00297716">
      <w:r>
        <w:t>根据中泰证券研究所发布的研究报告，</w:t>
      </w:r>
      <w:r>
        <w:t xml:space="preserve">2014 </w:t>
      </w:r>
      <w:r>
        <w:t>年全球</w:t>
      </w:r>
      <w:r w:rsidRPr="00FC792D">
        <w:rPr>
          <w:b/>
          <w:color w:val="FF0000"/>
        </w:rPr>
        <w:t>心脑血管疾病检测</w:t>
      </w:r>
      <w:r w:rsidRPr="00FC792D">
        <w:rPr>
          <w:b/>
          <w:color w:val="FF0000"/>
        </w:rPr>
        <w:t xml:space="preserve"> POCT </w:t>
      </w:r>
      <w:r w:rsidRPr="00FC792D">
        <w:rPr>
          <w:b/>
          <w:color w:val="FF0000"/>
        </w:rPr>
        <w:t>产品</w:t>
      </w:r>
      <w:r>
        <w:t>市场容量为</w:t>
      </w:r>
      <w:r>
        <w:t xml:space="preserve"> 17.6 </w:t>
      </w:r>
      <w:r>
        <w:t>亿美元，预计到</w:t>
      </w:r>
      <w:r>
        <w:t xml:space="preserve"> 2018 </w:t>
      </w:r>
      <w:r>
        <w:t>年可达</w:t>
      </w:r>
      <w:r>
        <w:t xml:space="preserve"> 28.7 </w:t>
      </w:r>
      <w:r>
        <w:t>亿美元，增速保持在</w:t>
      </w:r>
      <w:r>
        <w:t xml:space="preserve"> </w:t>
      </w:r>
      <w:r w:rsidRPr="00FC792D">
        <w:rPr>
          <w:b/>
          <w:color w:val="FF0000"/>
        </w:rPr>
        <w:t xml:space="preserve">13% </w:t>
      </w:r>
      <w:r>
        <w:t>左右，是</w:t>
      </w:r>
      <w:r w:rsidRPr="00FC792D">
        <w:rPr>
          <w:color w:val="FF0000"/>
        </w:rPr>
        <w:t>全球</w:t>
      </w:r>
      <w:r w:rsidRPr="00FC792D">
        <w:rPr>
          <w:color w:val="FF0000"/>
        </w:rPr>
        <w:t xml:space="preserve"> POCT </w:t>
      </w:r>
      <w:r w:rsidRPr="00FC792D">
        <w:rPr>
          <w:color w:val="FF0000"/>
        </w:rPr>
        <w:t>增长最快的细分领域</w:t>
      </w:r>
      <w:r>
        <w:t>。</w:t>
      </w:r>
    </w:p>
    <w:sectPr w:rsidR="00FC792D" w:rsidRPr="00977D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0E2" w:rsidRDefault="003A30E2" w:rsidP="00697806">
      <w:r>
        <w:separator/>
      </w:r>
    </w:p>
  </w:endnote>
  <w:endnote w:type="continuationSeparator" w:id="0">
    <w:p w:rsidR="003A30E2" w:rsidRDefault="003A30E2" w:rsidP="00697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0E2" w:rsidRDefault="003A30E2" w:rsidP="00697806">
      <w:r>
        <w:separator/>
      </w:r>
    </w:p>
  </w:footnote>
  <w:footnote w:type="continuationSeparator" w:id="0">
    <w:p w:rsidR="003A30E2" w:rsidRDefault="003A30E2" w:rsidP="006978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61FF3"/>
    <w:multiLevelType w:val="hybridMultilevel"/>
    <w:tmpl w:val="1FA08A70"/>
    <w:lvl w:ilvl="0" w:tplc="7CCADD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8764019"/>
    <w:multiLevelType w:val="hybridMultilevel"/>
    <w:tmpl w:val="C8C6E25C"/>
    <w:lvl w:ilvl="0" w:tplc="4A6C87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BDB7468"/>
    <w:multiLevelType w:val="hybridMultilevel"/>
    <w:tmpl w:val="7E90CE6E"/>
    <w:lvl w:ilvl="0" w:tplc="46524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77813B9"/>
    <w:multiLevelType w:val="hybridMultilevel"/>
    <w:tmpl w:val="117ACE5E"/>
    <w:lvl w:ilvl="0" w:tplc="1CDEB2B4">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716"/>
    <w:rsid w:val="000016B1"/>
    <w:rsid w:val="000204A5"/>
    <w:rsid w:val="00026702"/>
    <w:rsid w:val="00051EAF"/>
    <w:rsid w:val="00064E83"/>
    <w:rsid w:val="0007001E"/>
    <w:rsid w:val="0007178B"/>
    <w:rsid w:val="00075950"/>
    <w:rsid w:val="000A6A45"/>
    <w:rsid w:val="000C55DC"/>
    <w:rsid w:val="000D1EEE"/>
    <w:rsid w:val="000D5081"/>
    <w:rsid w:val="000E4E5F"/>
    <w:rsid w:val="000F12BD"/>
    <w:rsid w:val="000F6900"/>
    <w:rsid w:val="00114B2F"/>
    <w:rsid w:val="00131287"/>
    <w:rsid w:val="001371D0"/>
    <w:rsid w:val="00142F19"/>
    <w:rsid w:val="001A0058"/>
    <w:rsid w:val="001A036D"/>
    <w:rsid w:val="001B5C7C"/>
    <w:rsid w:val="001C4072"/>
    <w:rsid w:val="001E08C4"/>
    <w:rsid w:val="001F770F"/>
    <w:rsid w:val="00201F83"/>
    <w:rsid w:val="00206A99"/>
    <w:rsid w:val="002116C6"/>
    <w:rsid w:val="00214D4B"/>
    <w:rsid w:val="00250A3E"/>
    <w:rsid w:val="0026247D"/>
    <w:rsid w:val="00270866"/>
    <w:rsid w:val="002730B1"/>
    <w:rsid w:val="0027631A"/>
    <w:rsid w:val="0027646D"/>
    <w:rsid w:val="00285E26"/>
    <w:rsid w:val="0029565F"/>
    <w:rsid w:val="0029738B"/>
    <w:rsid w:val="00297716"/>
    <w:rsid w:val="002A4E12"/>
    <w:rsid w:val="002B18F5"/>
    <w:rsid w:val="002C0685"/>
    <w:rsid w:val="002C4573"/>
    <w:rsid w:val="002D5328"/>
    <w:rsid w:val="00301191"/>
    <w:rsid w:val="0031589A"/>
    <w:rsid w:val="0032636A"/>
    <w:rsid w:val="003338CC"/>
    <w:rsid w:val="00342C09"/>
    <w:rsid w:val="00394005"/>
    <w:rsid w:val="003A30E2"/>
    <w:rsid w:val="003A75C8"/>
    <w:rsid w:val="003B159E"/>
    <w:rsid w:val="003E0F9A"/>
    <w:rsid w:val="003F7876"/>
    <w:rsid w:val="004629CD"/>
    <w:rsid w:val="00473D71"/>
    <w:rsid w:val="004E3DE8"/>
    <w:rsid w:val="004E7AC4"/>
    <w:rsid w:val="004F05AC"/>
    <w:rsid w:val="004F36AC"/>
    <w:rsid w:val="0050168B"/>
    <w:rsid w:val="00506C51"/>
    <w:rsid w:val="00512CBC"/>
    <w:rsid w:val="0054495B"/>
    <w:rsid w:val="00545638"/>
    <w:rsid w:val="00580FFC"/>
    <w:rsid w:val="00592FB2"/>
    <w:rsid w:val="005B49EB"/>
    <w:rsid w:val="005B5B17"/>
    <w:rsid w:val="005C7054"/>
    <w:rsid w:val="005D349C"/>
    <w:rsid w:val="00611770"/>
    <w:rsid w:val="00626F03"/>
    <w:rsid w:val="006358D8"/>
    <w:rsid w:val="00640242"/>
    <w:rsid w:val="00641377"/>
    <w:rsid w:val="00690A8F"/>
    <w:rsid w:val="00697806"/>
    <w:rsid w:val="00697D70"/>
    <w:rsid w:val="006C15CC"/>
    <w:rsid w:val="006D655B"/>
    <w:rsid w:val="006F02BB"/>
    <w:rsid w:val="007068DF"/>
    <w:rsid w:val="00715DA8"/>
    <w:rsid w:val="00721875"/>
    <w:rsid w:val="00784405"/>
    <w:rsid w:val="00793DFF"/>
    <w:rsid w:val="007979A3"/>
    <w:rsid w:val="007A71E5"/>
    <w:rsid w:val="007F0E8E"/>
    <w:rsid w:val="008219EE"/>
    <w:rsid w:val="008227BE"/>
    <w:rsid w:val="008321E6"/>
    <w:rsid w:val="008576F9"/>
    <w:rsid w:val="008623E6"/>
    <w:rsid w:val="00866866"/>
    <w:rsid w:val="00866B18"/>
    <w:rsid w:val="0087031A"/>
    <w:rsid w:val="00874266"/>
    <w:rsid w:val="00887CB7"/>
    <w:rsid w:val="00897D3E"/>
    <w:rsid w:val="0090172E"/>
    <w:rsid w:val="00942BA3"/>
    <w:rsid w:val="00977D3D"/>
    <w:rsid w:val="00985A15"/>
    <w:rsid w:val="00997E4F"/>
    <w:rsid w:val="009A0E73"/>
    <w:rsid w:val="009A43EB"/>
    <w:rsid w:val="009C32D8"/>
    <w:rsid w:val="009D257B"/>
    <w:rsid w:val="009E5A53"/>
    <w:rsid w:val="00A06321"/>
    <w:rsid w:val="00A30086"/>
    <w:rsid w:val="00A4004B"/>
    <w:rsid w:val="00A73ED0"/>
    <w:rsid w:val="00A865F7"/>
    <w:rsid w:val="00A950BD"/>
    <w:rsid w:val="00AA6851"/>
    <w:rsid w:val="00AA7DC8"/>
    <w:rsid w:val="00AC3DA9"/>
    <w:rsid w:val="00AC5A35"/>
    <w:rsid w:val="00B14851"/>
    <w:rsid w:val="00B33A54"/>
    <w:rsid w:val="00B34CD8"/>
    <w:rsid w:val="00B53068"/>
    <w:rsid w:val="00B62E72"/>
    <w:rsid w:val="00BA4136"/>
    <w:rsid w:val="00BA434C"/>
    <w:rsid w:val="00BA562A"/>
    <w:rsid w:val="00BC2285"/>
    <w:rsid w:val="00BD517F"/>
    <w:rsid w:val="00BD68E6"/>
    <w:rsid w:val="00BE2763"/>
    <w:rsid w:val="00BF20DA"/>
    <w:rsid w:val="00BF7086"/>
    <w:rsid w:val="00C351C8"/>
    <w:rsid w:val="00C3692F"/>
    <w:rsid w:val="00C5138C"/>
    <w:rsid w:val="00C94D8E"/>
    <w:rsid w:val="00C97902"/>
    <w:rsid w:val="00CA4A6E"/>
    <w:rsid w:val="00CB4050"/>
    <w:rsid w:val="00CD6D87"/>
    <w:rsid w:val="00D2290B"/>
    <w:rsid w:val="00D4271C"/>
    <w:rsid w:val="00D45B3D"/>
    <w:rsid w:val="00D66EE6"/>
    <w:rsid w:val="00D8530E"/>
    <w:rsid w:val="00DA4C37"/>
    <w:rsid w:val="00DB0876"/>
    <w:rsid w:val="00DC02BB"/>
    <w:rsid w:val="00DC3B5A"/>
    <w:rsid w:val="00DD56DD"/>
    <w:rsid w:val="00DE07A2"/>
    <w:rsid w:val="00DE5451"/>
    <w:rsid w:val="00DF7F16"/>
    <w:rsid w:val="00E0472A"/>
    <w:rsid w:val="00E05D17"/>
    <w:rsid w:val="00E133C4"/>
    <w:rsid w:val="00E54896"/>
    <w:rsid w:val="00E62600"/>
    <w:rsid w:val="00E6640D"/>
    <w:rsid w:val="00E67A14"/>
    <w:rsid w:val="00E86BE3"/>
    <w:rsid w:val="00EA0204"/>
    <w:rsid w:val="00EA7CFD"/>
    <w:rsid w:val="00ED47DF"/>
    <w:rsid w:val="00F037E8"/>
    <w:rsid w:val="00F06EB3"/>
    <w:rsid w:val="00F20F09"/>
    <w:rsid w:val="00F3241B"/>
    <w:rsid w:val="00F32F75"/>
    <w:rsid w:val="00F737B5"/>
    <w:rsid w:val="00F803C8"/>
    <w:rsid w:val="00F83C36"/>
    <w:rsid w:val="00F86F03"/>
    <w:rsid w:val="00F9070E"/>
    <w:rsid w:val="00FB730C"/>
    <w:rsid w:val="00FC336C"/>
    <w:rsid w:val="00FC792D"/>
    <w:rsid w:val="00FD1BEB"/>
    <w:rsid w:val="00FD2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69C00B16-7872-45B8-ABC9-6671F99AE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977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03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03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7716"/>
    <w:rPr>
      <w:b/>
      <w:bCs/>
      <w:kern w:val="44"/>
      <w:sz w:val="44"/>
      <w:szCs w:val="44"/>
    </w:rPr>
  </w:style>
  <w:style w:type="paragraph" w:styleId="a3">
    <w:name w:val="Normal (Web)"/>
    <w:basedOn w:val="a"/>
    <w:uiPriority w:val="99"/>
    <w:unhideWhenUsed/>
    <w:rsid w:val="00297716"/>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Char"/>
    <w:uiPriority w:val="99"/>
    <w:unhideWhenUsed/>
    <w:rsid w:val="006978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97806"/>
    <w:rPr>
      <w:sz w:val="18"/>
      <w:szCs w:val="18"/>
    </w:rPr>
  </w:style>
  <w:style w:type="paragraph" w:styleId="a5">
    <w:name w:val="footer"/>
    <w:basedOn w:val="a"/>
    <w:link w:val="Char0"/>
    <w:uiPriority w:val="99"/>
    <w:unhideWhenUsed/>
    <w:rsid w:val="00697806"/>
    <w:pPr>
      <w:tabs>
        <w:tab w:val="center" w:pos="4153"/>
        <w:tab w:val="right" w:pos="8306"/>
      </w:tabs>
      <w:snapToGrid w:val="0"/>
      <w:jc w:val="left"/>
    </w:pPr>
    <w:rPr>
      <w:sz w:val="18"/>
      <w:szCs w:val="18"/>
    </w:rPr>
  </w:style>
  <w:style w:type="character" w:customStyle="1" w:styleId="Char0">
    <w:name w:val="页脚 Char"/>
    <w:basedOn w:val="a0"/>
    <w:link w:val="a5"/>
    <w:uiPriority w:val="99"/>
    <w:rsid w:val="00697806"/>
    <w:rPr>
      <w:sz w:val="18"/>
      <w:szCs w:val="18"/>
    </w:rPr>
  </w:style>
  <w:style w:type="table" w:styleId="a6">
    <w:name w:val="Table Grid"/>
    <w:basedOn w:val="a1"/>
    <w:uiPriority w:val="39"/>
    <w:rsid w:val="004F3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F803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803C8"/>
    <w:rPr>
      <w:b/>
      <w:bCs/>
      <w:sz w:val="32"/>
      <w:szCs w:val="32"/>
    </w:rPr>
  </w:style>
  <w:style w:type="paragraph" w:styleId="a7">
    <w:name w:val="List Paragraph"/>
    <w:basedOn w:val="a"/>
    <w:uiPriority w:val="34"/>
    <w:qFormat/>
    <w:rsid w:val="00866866"/>
    <w:pPr>
      <w:ind w:firstLineChars="200" w:firstLine="420"/>
    </w:pPr>
  </w:style>
  <w:style w:type="character" w:customStyle="1" w:styleId="fontstyle01">
    <w:name w:val="fontstyle01"/>
    <w:basedOn w:val="a0"/>
    <w:rsid w:val="00A06321"/>
    <w:rPr>
      <w:rFonts w:ascii="宋体" w:eastAsia="宋体" w:hAnsi="宋体" w:hint="eastAsia"/>
      <w:b w:val="0"/>
      <w:bCs w:val="0"/>
      <w:i w:val="0"/>
      <w:iCs w:val="0"/>
      <w:color w:val="000000"/>
      <w:sz w:val="22"/>
      <w:szCs w:val="22"/>
    </w:rPr>
  </w:style>
  <w:style w:type="character" w:customStyle="1" w:styleId="fontstyle11">
    <w:name w:val="fontstyle11"/>
    <w:basedOn w:val="a0"/>
    <w:rsid w:val="00A06321"/>
    <w:rPr>
      <w:rFonts w:ascii="Times New Roman" w:hAnsi="Times New Roman" w:cs="Times New Roman" w:hint="default"/>
      <w:b w:val="0"/>
      <w:bCs w:val="0"/>
      <w:i w:val="0"/>
      <w:iCs w:val="0"/>
      <w:color w:val="000000"/>
      <w:sz w:val="22"/>
      <w:szCs w:val="22"/>
    </w:rPr>
  </w:style>
  <w:style w:type="character" w:styleId="a8">
    <w:name w:val="Hyperlink"/>
    <w:basedOn w:val="a0"/>
    <w:uiPriority w:val="99"/>
    <w:semiHidden/>
    <w:unhideWhenUsed/>
    <w:rsid w:val="00B14851"/>
    <w:rPr>
      <w:color w:val="0000FF"/>
      <w:u w:val="single"/>
    </w:rPr>
  </w:style>
  <w:style w:type="character" w:styleId="a9">
    <w:name w:val="Emphasis"/>
    <w:basedOn w:val="a0"/>
    <w:uiPriority w:val="20"/>
    <w:qFormat/>
    <w:rsid w:val="002116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937038">
      <w:bodyDiv w:val="1"/>
      <w:marLeft w:val="0"/>
      <w:marRight w:val="0"/>
      <w:marTop w:val="0"/>
      <w:marBottom w:val="0"/>
      <w:divBdr>
        <w:top w:val="none" w:sz="0" w:space="0" w:color="auto"/>
        <w:left w:val="none" w:sz="0" w:space="0" w:color="auto"/>
        <w:bottom w:val="none" w:sz="0" w:space="0" w:color="auto"/>
        <w:right w:val="none" w:sz="0" w:space="0" w:color="auto"/>
      </w:divBdr>
    </w:div>
    <w:div w:id="1675762460">
      <w:bodyDiv w:val="1"/>
      <w:marLeft w:val="0"/>
      <w:marRight w:val="0"/>
      <w:marTop w:val="0"/>
      <w:marBottom w:val="0"/>
      <w:divBdr>
        <w:top w:val="none" w:sz="0" w:space="0" w:color="auto"/>
        <w:left w:val="none" w:sz="0" w:space="0" w:color="auto"/>
        <w:bottom w:val="none" w:sz="0" w:space="0" w:color="auto"/>
        <w:right w:val="none" w:sz="0" w:space="0" w:color="auto"/>
      </w:divBdr>
      <w:divsChild>
        <w:div w:id="517813418">
          <w:marLeft w:val="0"/>
          <w:marRight w:val="0"/>
          <w:marTop w:val="0"/>
          <w:marBottom w:val="0"/>
          <w:divBdr>
            <w:top w:val="none" w:sz="0" w:space="0" w:color="auto"/>
            <w:left w:val="none" w:sz="0" w:space="0" w:color="auto"/>
            <w:bottom w:val="none" w:sz="0" w:space="0" w:color="auto"/>
            <w:right w:val="none" w:sz="0" w:space="0" w:color="auto"/>
          </w:divBdr>
          <w:divsChild>
            <w:div w:id="1394499872">
              <w:marLeft w:val="0"/>
              <w:marRight w:val="0"/>
              <w:marTop w:val="0"/>
              <w:marBottom w:val="0"/>
              <w:divBdr>
                <w:top w:val="none" w:sz="0" w:space="0" w:color="auto"/>
                <w:left w:val="none" w:sz="0" w:space="0" w:color="auto"/>
                <w:bottom w:val="none" w:sz="0" w:space="0" w:color="auto"/>
                <w:right w:val="none" w:sz="0" w:space="0" w:color="auto"/>
              </w:divBdr>
              <w:divsChild>
                <w:div w:id="12800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724070">
      <w:bodyDiv w:val="1"/>
      <w:marLeft w:val="0"/>
      <w:marRight w:val="0"/>
      <w:marTop w:val="0"/>
      <w:marBottom w:val="0"/>
      <w:divBdr>
        <w:top w:val="none" w:sz="0" w:space="0" w:color="auto"/>
        <w:left w:val="none" w:sz="0" w:space="0" w:color="auto"/>
        <w:bottom w:val="none" w:sz="0" w:space="0" w:color="auto"/>
        <w:right w:val="none" w:sz="0" w:space="0" w:color="auto"/>
      </w:divBdr>
      <w:divsChild>
        <w:div w:id="1708682064">
          <w:marLeft w:val="0"/>
          <w:marRight w:val="0"/>
          <w:marTop w:val="0"/>
          <w:marBottom w:val="0"/>
          <w:divBdr>
            <w:top w:val="none" w:sz="0" w:space="0" w:color="auto"/>
            <w:left w:val="none" w:sz="0" w:space="0" w:color="auto"/>
            <w:bottom w:val="none" w:sz="0" w:space="0" w:color="auto"/>
            <w:right w:val="none" w:sz="0" w:space="0" w:color="auto"/>
          </w:divBdr>
          <w:divsChild>
            <w:div w:id="671762546">
              <w:marLeft w:val="0"/>
              <w:marRight w:val="0"/>
              <w:marTop w:val="0"/>
              <w:marBottom w:val="0"/>
              <w:divBdr>
                <w:top w:val="none" w:sz="0" w:space="0" w:color="auto"/>
                <w:left w:val="none" w:sz="0" w:space="0" w:color="auto"/>
                <w:bottom w:val="none" w:sz="0" w:space="0" w:color="auto"/>
                <w:right w:val="none" w:sz="0" w:space="0" w:color="auto"/>
              </w:divBdr>
              <w:divsChild>
                <w:div w:id="18050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6356</TotalTime>
  <Pages>6</Pages>
  <Words>618</Words>
  <Characters>3528</Characters>
  <Application>Microsoft Office Word</Application>
  <DocSecurity>0</DocSecurity>
  <Lines>29</Lines>
  <Paragraphs>8</Paragraphs>
  <ScaleCrop>false</ScaleCrop>
  <Company/>
  <LinksUpToDate>false</LinksUpToDate>
  <CharactersWithSpaces>4138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AppleFish</cp:lastModifiedBy>
  <cp:revision>153</cp:revision>
  <dcterms:created xsi:type="dcterms:W3CDTF">2020-03-22T13:24:00Z</dcterms:created>
  <dcterms:modified xsi:type="dcterms:W3CDTF">2020-09-24T04:35:00Z</dcterms:modified>
</cp:coreProperties>
</file>