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ADA9" w14:textId="77777777" w:rsidR="0085457B" w:rsidRDefault="0085457B" w:rsidP="0085457B">
      <w:pPr>
        <w:pStyle w:val="Ttulo1"/>
        <w:ind w:left="432" w:hanging="432"/>
        <w:rPr>
          <w:noProof/>
        </w:rPr>
      </w:pPr>
      <w:r>
        <w:rPr>
          <w:noProof/>
        </w:rPr>
        <w:t>Terms &amp; Conditions WG Tool</w:t>
      </w:r>
    </w:p>
    <w:p w14:paraId="69BF1837" w14:textId="77777777" w:rsidR="0085457B" w:rsidRDefault="0085457B" w:rsidP="0085457B">
      <w:pPr>
        <w:pStyle w:val="Ttulo2"/>
        <w:rPr>
          <w:rFonts w:ascii="Times New Roman" w:hAnsi="Times New Roman"/>
        </w:rPr>
      </w:pPr>
      <w:bookmarkStart w:id="0" w:name="_Toc196864903"/>
      <w:r>
        <w:t>1. Acceptance of Terms</w:t>
      </w:r>
      <w:bookmarkEnd w:id="0"/>
    </w:p>
    <w:p w14:paraId="6310DE6E" w14:textId="77777777" w:rsidR="0085457B" w:rsidRDefault="0085457B" w:rsidP="0085457B">
      <w:pPr>
        <w:spacing w:before="100" w:beforeAutospacing="1" w:after="100" w:afterAutospacing="1"/>
      </w:pPr>
      <w:r>
        <w:t>By accessing or using the Water Governance Diagnosis Tool (“Tool”), you agree to be bound by these Terms and Conditions and any future modifications. If you do not agree, please do not use the Tool.</w:t>
      </w:r>
    </w:p>
    <w:p w14:paraId="193203BF" w14:textId="77777777" w:rsidR="0085457B" w:rsidRDefault="0085457B" w:rsidP="0085457B">
      <w:pPr>
        <w:pStyle w:val="Ttulo2"/>
      </w:pPr>
      <w:bookmarkStart w:id="1" w:name="_Toc196864904"/>
      <w:r>
        <w:t>2. Description of Service</w:t>
      </w:r>
      <w:bookmarkEnd w:id="1"/>
    </w:p>
    <w:p w14:paraId="2EC66B70" w14:textId="77777777" w:rsidR="0085457B" w:rsidRDefault="0085457B" w:rsidP="0085457B">
      <w:pPr>
        <w:spacing w:before="100" w:beforeAutospacing="1" w:after="100" w:afterAutospacing="1"/>
      </w:pPr>
      <w:r>
        <w:t>The Tool is an online, decision-support system developed under the EU-funded InnWater project (Grant Agreement No. 101086512). It enables users to assess water-governance scenarios following a diagnosis–therapy–learning approach.</w:t>
      </w:r>
    </w:p>
    <w:p w14:paraId="0D14723F" w14:textId="77777777" w:rsidR="0085457B" w:rsidRDefault="0085457B" w:rsidP="0085457B">
      <w:pPr>
        <w:pStyle w:val="Ttulo2"/>
      </w:pPr>
      <w:bookmarkStart w:id="2" w:name="_Toc196864905"/>
      <w:r>
        <w:t>3. Eligibility</w:t>
      </w:r>
      <w:bookmarkEnd w:id="2"/>
    </w:p>
    <w:p w14:paraId="646F8418" w14:textId="77777777" w:rsidR="0085457B" w:rsidRDefault="0085457B" w:rsidP="0085457B">
      <w:pPr>
        <w:spacing w:before="100" w:beforeAutospacing="1" w:after="100" w:afterAutospacing="1"/>
      </w:pPr>
      <w:r>
        <w:t>You must be at least 18 years old and have the legal capacity to enter into contracts. By using the Tool, you represent that you meet these criteria.</w:t>
      </w:r>
    </w:p>
    <w:p w14:paraId="252B892D" w14:textId="77777777" w:rsidR="0085457B" w:rsidRDefault="0085457B" w:rsidP="0085457B">
      <w:pPr>
        <w:pStyle w:val="Ttulo2"/>
      </w:pPr>
      <w:bookmarkStart w:id="3" w:name="_Toc196864906"/>
      <w:r>
        <w:t>4. Grant of License</w:t>
      </w:r>
      <w:bookmarkEnd w:id="3"/>
    </w:p>
    <w:p w14:paraId="123A51E0" w14:textId="77777777" w:rsidR="0085457B" w:rsidRDefault="0085457B" w:rsidP="0085457B">
      <w:pPr>
        <w:spacing w:before="100" w:beforeAutospacing="1" w:after="100" w:afterAutospacing="1"/>
      </w:pPr>
      <w:r>
        <w:t>Subject to your compliance with these Terms, InnWater Consortium grants you a limited, non-exclusive, non-transferable, revocable license to access and use the Tool solely for your internal, non-commercial research, policy analysis, or educational purposes.</w:t>
      </w:r>
    </w:p>
    <w:p w14:paraId="6263BFA3" w14:textId="77777777" w:rsidR="0085457B" w:rsidRDefault="0085457B" w:rsidP="0085457B">
      <w:pPr>
        <w:pStyle w:val="Ttulo2"/>
      </w:pPr>
      <w:bookmarkStart w:id="4" w:name="_Toc196864907"/>
      <w:r>
        <w:t>5. User Obligations</w:t>
      </w:r>
      <w:bookmarkEnd w:id="4"/>
    </w:p>
    <w:p w14:paraId="27BBB213" w14:textId="77777777" w:rsidR="0085457B" w:rsidRDefault="0085457B" w:rsidP="0085457B">
      <w:pPr>
        <w:spacing w:before="100" w:beforeAutospacing="1" w:after="100" w:afterAutospacing="1"/>
      </w:pPr>
      <w:r>
        <w:t xml:space="preserve">You agree not </w:t>
      </w:r>
      <w:proofErr w:type="gramStart"/>
      <w:r>
        <w:t>to:</w:t>
      </w:r>
      <w:proofErr w:type="gramEnd"/>
    </w:p>
    <w:p w14:paraId="66AB3EEB" w14:textId="77777777" w:rsidR="0085457B" w:rsidRDefault="0085457B" w:rsidP="0085457B">
      <w:pPr>
        <w:numPr>
          <w:ilvl w:val="0"/>
          <w:numId w:val="10"/>
        </w:numPr>
        <w:spacing w:before="100" w:beforeAutospacing="1" w:after="100" w:afterAutospacing="1"/>
        <w:jc w:val="left"/>
      </w:pPr>
      <w:r>
        <w:t xml:space="preserve">Reverse-engineer, decompile, or disassemble any part of the </w:t>
      </w:r>
      <w:proofErr w:type="gramStart"/>
      <w:r>
        <w:t>Tool;</w:t>
      </w:r>
      <w:proofErr w:type="gramEnd"/>
    </w:p>
    <w:p w14:paraId="5299AA2B" w14:textId="77777777" w:rsidR="0085457B" w:rsidRDefault="0085457B" w:rsidP="0085457B">
      <w:pPr>
        <w:numPr>
          <w:ilvl w:val="0"/>
          <w:numId w:val="10"/>
        </w:numPr>
        <w:spacing w:before="100" w:beforeAutospacing="1" w:after="100" w:afterAutospacing="1"/>
        <w:jc w:val="left"/>
      </w:pPr>
      <w:r>
        <w:t xml:space="preserve">Use the Tool to infringe any person’s rights or to perform unlawful </w:t>
      </w:r>
      <w:proofErr w:type="gramStart"/>
      <w:r>
        <w:t>activities;</w:t>
      </w:r>
      <w:proofErr w:type="gramEnd"/>
    </w:p>
    <w:p w14:paraId="6C220391" w14:textId="77777777" w:rsidR="0085457B" w:rsidRDefault="0085457B" w:rsidP="0085457B">
      <w:pPr>
        <w:numPr>
          <w:ilvl w:val="0"/>
          <w:numId w:val="10"/>
        </w:numPr>
        <w:spacing w:before="100" w:beforeAutospacing="1" w:after="100" w:afterAutospacing="1"/>
        <w:jc w:val="left"/>
      </w:pPr>
      <w:r>
        <w:t>Intentionally disrupt or impair the Tool’s functionality (e.g., through denial-of-service attacks</w:t>
      </w:r>
      <w:proofErr w:type="gramStart"/>
      <w:r>
        <w:t>);</w:t>
      </w:r>
      <w:proofErr w:type="gramEnd"/>
    </w:p>
    <w:p w14:paraId="6FEFCA9C" w14:textId="77777777" w:rsidR="0085457B" w:rsidRDefault="0085457B" w:rsidP="0085457B">
      <w:pPr>
        <w:numPr>
          <w:ilvl w:val="0"/>
          <w:numId w:val="10"/>
        </w:numPr>
        <w:spacing w:before="100" w:beforeAutospacing="1" w:after="100" w:afterAutospacing="1"/>
        <w:jc w:val="left"/>
      </w:pPr>
      <w:r>
        <w:t xml:space="preserve">Share accounts or </w:t>
      </w:r>
      <w:proofErr w:type="gramStart"/>
      <w:r>
        <w:t>credentials;</w:t>
      </w:r>
      <w:proofErr w:type="gramEnd"/>
      <w:r>
        <w:t xml:space="preserve"> you are responsible for safeguarding your login details.</w:t>
      </w:r>
    </w:p>
    <w:p w14:paraId="5D3CA2F4" w14:textId="77777777" w:rsidR="0085457B" w:rsidRDefault="0085457B" w:rsidP="0085457B">
      <w:pPr>
        <w:pStyle w:val="Ttulo2"/>
      </w:pPr>
      <w:bookmarkStart w:id="5" w:name="_Toc196864908"/>
      <w:r>
        <w:t>6. Data Input and Privacy</w:t>
      </w:r>
      <w:bookmarkEnd w:id="5"/>
    </w:p>
    <w:p w14:paraId="7A445436" w14:textId="77777777" w:rsidR="0085457B" w:rsidRDefault="0085457B" w:rsidP="0085457B">
      <w:pPr>
        <w:numPr>
          <w:ilvl w:val="0"/>
          <w:numId w:val="11"/>
        </w:numPr>
        <w:spacing w:before="100" w:beforeAutospacing="1" w:after="100" w:afterAutospacing="1"/>
        <w:jc w:val="left"/>
      </w:pPr>
      <w:r>
        <w:rPr>
          <w:rStyle w:val="Fuerte"/>
        </w:rPr>
        <w:t xml:space="preserve">User </w:t>
      </w:r>
      <w:proofErr w:type="gramStart"/>
      <w:r>
        <w:rPr>
          <w:rStyle w:val="Fuerte"/>
        </w:rPr>
        <w:t>Data</w:t>
      </w:r>
      <w:r>
        <w:t>:</w:t>
      </w:r>
      <w:proofErr w:type="gramEnd"/>
      <w:r>
        <w:t xml:space="preserve"> Any information you enter (e.g., scenario parameters) remains confidential and is used only to generate your analyses.</w:t>
      </w:r>
    </w:p>
    <w:p w14:paraId="2A5F9933" w14:textId="77777777" w:rsidR="0085457B" w:rsidRDefault="0085457B" w:rsidP="0085457B">
      <w:pPr>
        <w:numPr>
          <w:ilvl w:val="0"/>
          <w:numId w:val="11"/>
        </w:numPr>
        <w:spacing w:before="100" w:beforeAutospacing="1" w:after="100" w:afterAutospacing="1"/>
        <w:jc w:val="left"/>
      </w:pPr>
      <w:proofErr w:type="gramStart"/>
      <w:r>
        <w:rPr>
          <w:rStyle w:val="Fuerte"/>
        </w:rPr>
        <w:t>Anonymization</w:t>
      </w:r>
      <w:r>
        <w:t>:</w:t>
      </w:r>
      <w:proofErr w:type="gramEnd"/>
      <w:r>
        <w:t xml:space="preserve"> No personal identifiers are stored unless you explicitly consent.</w:t>
      </w:r>
    </w:p>
    <w:p w14:paraId="3084FD7D" w14:textId="77777777" w:rsidR="0085457B" w:rsidRDefault="0085457B" w:rsidP="0085457B">
      <w:pPr>
        <w:numPr>
          <w:ilvl w:val="0"/>
          <w:numId w:val="11"/>
        </w:numPr>
        <w:spacing w:before="100" w:beforeAutospacing="1" w:after="100" w:afterAutospacing="1"/>
        <w:jc w:val="left"/>
      </w:pPr>
      <w:r>
        <w:rPr>
          <w:rStyle w:val="Fuerte"/>
        </w:rPr>
        <w:t xml:space="preserve">Privacy </w:t>
      </w:r>
      <w:proofErr w:type="gramStart"/>
      <w:r>
        <w:rPr>
          <w:rStyle w:val="Fuerte"/>
        </w:rPr>
        <w:t>Policy</w:t>
      </w:r>
      <w:r>
        <w:t>:</w:t>
      </w:r>
      <w:proofErr w:type="gramEnd"/>
      <w:r>
        <w:t xml:space="preserve"> Processing of any personal data is governed by our </w:t>
      </w:r>
      <w:hyperlink w:history="1">
        <w:r>
          <w:rPr>
            <w:rStyle w:val="Hipervnculo"/>
          </w:rPr>
          <w:t>Privacy Policy</w:t>
        </w:r>
      </w:hyperlink>
      <w:r>
        <w:t xml:space="preserve"> in full compliance with GDPR.</w:t>
      </w:r>
    </w:p>
    <w:p w14:paraId="78FD7495" w14:textId="77777777" w:rsidR="0085457B" w:rsidRDefault="0085457B" w:rsidP="0085457B">
      <w:pPr>
        <w:pStyle w:val="Ttulo2"/>
      </w:pPr>
      <w:bookmarkStart w:id="6" w:name="_Toc196864909"/>
      <w:r>
        <w:lastRenderedPageBreak/>
        <w:t>7. Accuracy and Disclaimers</w:t>
      </w:r>
      <w:bookmarkEnd w:id="6"/>
    </w:p>
    <w:p w14:paraId="2E6E5F9B" w14:textId="77777777" w:rsidR="0085457B" w:rsidRDefault="0085457B" w:rsidP="0085457B">
      <w:pPr>
        <w:numPr>
          <w:ilvl w:val="0"/>
          <w:numId w:val="12"/>
        </w:numPr>
        <w:spacing w:before="100" w:beforeAutospacing="1" w:after="100" w:afterAutospacing="1"/>
        <w:jc w:val="left"/>
      </w:pPr>
      <w:r>
        <w:rPr>
          <w:rStyle w:val="Fuerte"/>
        </w:rPr>
        <w:t xml:space="preserve">No </w:t>
      </w:r>
      <w:proofErr w:type="gramStart"/>
      <w:r>
        <w:rPr>
          <w:rStyle w:val="Fuerte"/>
        </w:rPr>
        <w:t>Warranty</w:t>
      </w:r>
      <w:r>
        <w:t>:</w:t>
      </w:r>
      <w:proofErr w:type="gramEnd"/>
      <w:r>
        <w:t xml:space="preserve"> The Tool is provided “as is” and “as available.” InnWater makes no warranties, express or implied, regarding accuracy, completeness, or fitness for any particular purpose.</w:t>
      </w:r>
    </w:p>
    <w:p w14:paraId="5B56914D" w14:textId="77777777" w:rsidR="0085457B" w:rsidRDefault="0085457B" w:rsidP="0085457B">
      <w:pPr>
        <w:numPr>
          <w:ilvl w:val="0"/>
          <w:numId w:val="12"/>
        </w:numPr>
        <w:spacing w:before="100" w:beforeAutospacing="1" w:after="100" w:afterAutospacing="1"/>
        <w:jc w:val="left"/>
      </w:pPr>
      <w:r>
        <w:rPr>
          <w:rStyle w:val="Fuerte"/>
        </w:rPr>
        <w:t xml:space="preserve">Decision-Support </w:t>
      </w:r>
      <w:proofErr w:type="gramStart"/>
      <w:r>
        <w:rPr>
          <w:rStyle w:val="Fuerte"/>
        </w:rPr>
        <w:t>Only</w:t>
      </w:r>
      <w:r>
        <w:t>:</w:t>
      </w:r>
      <w:proofErr w:type="gramEnd"/>
      <w:r>
        <w:t xml:space="preserve"> Outputs are recommendations based on publicly available project deliverables. They do </w:t>
      </w:r>
      <w:r>
        <w:rPr>
          <w:rStyle w:val="Fuerte"/>
        </w:rPr>
        <w:t>not</w:t>
      </w:r>
      <w:r>
        <w:t xml:space="preserve"> constitute legally binding advice or replace expert judgment.</w:t>
      </w:r>
    </w:p>
    <w:p w14:paraId="23112891" w14:textId="77777777" w:rsidR="0085457B" w:rsidRDefault="0085457B" w:rsidP="0085457B">
      <w:pPr>
        <w:pStyle w:val="Ttulo2"/>
      </w:pPr>
      <w:bookmarkStart w:id="7" w:name="_Toc196864910"/>
      <w:r>
        <w:t>8. Intellectual Property</w:t>
      </w:r>
      <w:bookmarkEnd w:id="7"/>
    </w:p>
    <w:p w14:paraId="644E043C" w14:textId="77777777" w:rsidR="0085457B" w:rsidRDefault="0085457B" w:rsidP="0085457B">
      <w:pPr>
        <w:spacing w:before="100" w:beforeAutospacing="1" w:after="100" w:afterAutospacing="1"/>
      </w:pPr>
      <w:r>
        <w:t>All intellectual property rights in the Tool (including source code, documentation, logos, and trademarks) remain the property of the InnWater Consortium or its licensors. No ownership rights are transferred under these Terms.</w:t>
      </w:r>
    </w:p>
    <w:p w14:paraId="20056F87" w14:textId="77777777" w:rsidR="0085457B" w:rsidRDefault="0085457B" w:rsidP="0085457B">
      <w:pPr>
        <w:pStyle w:val="Ttulo2"/>
      </w:pPr>
      <w:bookmarkStart w:id="8" w:name="_Toc196864911"/>
      <w:r>
        <w:t>9. Limitation of Liability</w:t>
      </w:r>
      <w:bookmarkEnd w:id="8"/>
    </w:p>
    <w:p w14:paraId="0B945FF1" w14:textId="77777777" w:rsidR="0085457B" w:rsidRDefault="0085457B" w:rsidP="0085457B">
      <w:pPr>
        <w:spacing w:before="100" w:beforeAutospacing="1" w:after="100" w:afterAutospacing="1"/>
      </w:pPr>
      <w:r>
        <w:t>To the maximum extent permitted by law, InnWater Consortium and its members shall not be liable for any indirect, incidental, special, or consequential damages arising from your use of the Tool, even if advised of the possibility of such damages.</w:t>
      </w:r>
    </w:p>
    <w:p w14:paraId="5631687B" w14:textId="77777777" w:rsidR="0085457B" w:rsidRDefault="0085457B" w:rsidP="0085457B">
      <w:pPr>
        <w:pStyle w:val="Ttulo2"/>
      </w:pPr>
      <w:bookmarkStart w:id="9" w:name="_Toc196864912"/>
      <w:r>
        <w:t>10. Indemnification</w:t>
      </w:r>
      <w:bookmarkEnd w:id="9"/>
    </w:p>
    <w:p w14:paraId="40821EE9" w14:textId="77777777" w:rsidR="0085457B" w:rsidRDefault="0085457B" w:rsidP="0085457B">
      <w:pPr>
        <w:spacing w:before="100" w:beforeAutospacing="1" w:after="100" w:afterAutospacing="1"/>
      </w:pPr>
      <w:r>
        <w:t>You agree to indemnify and hold harmless the InnWater Consortium, its officers, agents, and employees from any claims, damages, losses, or liabilities (including reasonable legal fees) arising out of your misuse of the Tool or violation of these Terms.</w:t>
      </w:r>
    </w:p>
    <w:p w14:paraId="5AE89D85" w14:textId="77777777" w:rsidR="0085457B" w:rsidRDefault="0085457B" w:rsidP="0085457B">
      <w:pPr>
        <w:pStyle w:val="Ttulo2"/>
      </w:pPr>
      <w:bookmarkStart w:id="10" w:name="_Toc196864913"/>
      <w:r>
        <w:t>11. Termination</w:t>
      </w:r>
      <w:bookmarkEnd w:id="10"/>
    </w:p>
    <w:p w14:paraId="28EFDF18" w14:textId="77777777" w:rsidR="0085457B" w:rsidRDefault="0085457B" w:rsidP="0085457B">
      <w:pPr>
        <w:spacing w:before="100" w:beforeAutospacing="1" w:after="100" w:afterAutospacing="1"/>
      </w:pPr>
      <w:r>
        <w:t>InnWater Consortium may suspend or terminate your access at any time for violation of these Terms or for any other reason without prior notice. Sections 6, 7, 8, 9, and 10 survive termination.</w:t>
      </w:r>
    </w:p>
    <w:p w14:paraId="154E6527" w14:textId="77777777" w:rsidR="0085457B" w:rsidRDefault="0085457B" w:rsidP="0085457B">
      <w:pPr>
        <w:pStyle w:val="Ttulo2"/>
      </w:pPr>
      <w:bookmarkStart w:id="11" w:name="_Toc196864914"/>
      <w:r>
        <w:t>12. Changes to Terms</w:t>
      </w:r>
      <w:bookmarkEnd w:id="11"/>
    </w:p>
    <w:p w14:paraId="7B8B3CF1" w14:textId="77777777" w:rsidR="0085457B" w:rsidRDefault="0085457B" w:rsidP="0085457B">
      <w:pPr>
        <w:spacing w:before="100" w:beforeAutospacing="1" w:after="100" w:afterAutospacing="1"/>
      </w:pPr>
      <w:r>
        <w:t>We reserve the right to modify these Terms at any time. Revised versions will be posted with a new “Last updated” date. Your continued use after changes constitutes acceptance.</w:t>
      </w:r>
    </w:p>
    <w:p w14:paraId="7F895343" w14:textId="77777777" w:rsidR="00561257" w:rsidRPr="0085457B" w:rsidRDefault="00561257" w:rsidP="0085457B"/>
    <w:sectPr w:rsidR="00561257" w:rsidRPr="0085457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E29"/>
    <w:multiLevelType w:val="multilevel"/>
    <w:tmpl w:val="D5C8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046D6"/>
    <w:multiLevelType w:val="multilevel"/>
    <w:tmpl w:val="AC66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45CF9"/>
    <w:multiLevelType w:val="multilevel"/>
    <w:tmpl w:val="1332A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803A9"/>
    <w:multiLevelType w:val="multilevel"/>
    <w:tmpl w:val="1D64F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232BAD"/>
    <w:multiLevelType w:val="multilevel"/>
    <w:tmpl w:val="7248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539E4"/>
    <w:multiLevelType w:val="multilevel"/>
    <w:tmpl w:val="5CC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D16AD"/>
    <w:multiLevelType w:val="multilevel"/>
    <w:tmpl w:val="642A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0541A4"/>
    <w:multiLevelType w:val="multilevel"/>
    <w:tmpl w:val="011E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237C0"/>
    <w:multiLevelType w:val="multilevel"/>
    <w:tmpl w:val="1ACA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741F9"/>
    <w:multiLevelType w:val="multilevel"/>
    <w:tmpl w:val="6A90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43FB1"/>
    <w:multiLevelType w:val="multilevel"/>
    <w:tmpl w:val="319E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F2CE0"/>
    <w:multiLevelType w:val="multilevel"/>
    <w:tmpl w:val="88E6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732985">
    <w:abstractNumId w:val="11"/>
  </w:num>
  <w:num w:numId="2" w16cid:durableId="539827541">
    <w:abstractNumId w:val="5"/>
  </w:num>
  <w:num w:numId="3" w16cid:durableId="1629974074">
    <w:abstractNumId w:val="0"/>
  </w:num>
  <w:num w:numId="4" w16cid:durableId="2126384014">
    <w:abstractNumId w:val="9"/>
  </w:num>
  <w:num w:numId="5" w16cid:durableId="732314697">
    <w:abstractNumId w:val="1"/>
  </w:num>
  <w:num w:numId="6" w16cid:durableId="1595672667">
    <w:abstractNumId w:val="10"/>
  </w:num>
  <w:num w:numId="7" w16cid:durableId="363332342">
    <w:abstractNumId w:val="8"/>
  </w:num>
  <w:num w:numId="8" w16cid:durableId="1176071766">
    <w:abstractNumId w:val="7"/>
  </w:num>
  <w:num w:numId="9" w16cid:durableId="1842769994">
    <w:abstractNumId w:val="4"/>
  </w:num>
  <w:num w:numId="10" w16cid:durableId="960304359">
    <w:abstractNumId w:val="6"/>
  </w:num>
  <w:num w:numId="11" w16cid:durableId="2073314004">
    <w:abstractNumId w:val="2"/>
  </w:num>
  <w:num w:numId="12" w16cid:durableId="557128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57B"/>
    <w:rsid w:val="000D0E06"/>
    <w:rsid w:val="003943EC"/>
    <w:rsid w:val="003F72ED"/>
    <w:rsid w:val="00561257"/>
    <w:rsid w:val="00637BB5"/>
    <w:rsid w:val="007835FF"/>
    <w:rsid w:val="0085457B"/>
    <w:rsid w:val="00977C6D"/>
    <w:rsid w:val="009A3415"/>
    <w:rsid w:val="00A86D0B"/>
    <w:rsid w:val="00A95AB3"/>
    <w:rsid w:val="00E50DF2"/>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271C70C"/>
  <w15:chartTrackingRefBased/>
  <w15:docId w15:val="{A5DBE304-6019-A347-9CF3-8D07B02A9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57B"/>
    <w:pPr>
      <w:spacing w:after="120" w:line="240" w:lineRule="auto"/>
      <w:jc w:val="both"/>
    </w:pPr>
    <w:rPr>
      <w:rFonts w:ascii="Calibri" w:hAnsi="Calibri" w:cs="Times New Roman"/>
      <w:color w:val="000000" w:themeColor="text1"/>
      <w:kern w:val="0"/>
      <w:lang w:val="fr-FR"/>
      <w14:ligatures w14:val="none"/>
    </w:rPr>
  </w:style>
  <w:style w:type="paragraph" w:styleId="Ttulo1">
    <w:name w:val="heading 1"/>
    <w:aliases w:val="Title 1 - NAT"/>
    <w:basedOn w:val="Normal"/>
    <w:next w:val="Normal"/>
    <w:link w:val="Ttulo1Car"/>
    <w:qFormat/>
    <w:rsid w:val="00854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aliases w:val="Title2 - NAT"/>
    <w:basedOn w:val="Normal"/>
    <w:next w:val="Normal"/>
    <w:link w:val="Ttulo2Car"/>
    <w:unhideWhenUsed/>
    <w:qFormat/>
    <w:rsid w:val="00854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aliases w:val="Title 3 - NAT"/>
    <w:basedOn w:val="Normal"/>
    <w:next w:val="Normal"/>
    <w:link w:val="Ttulo3Car"/>
    <w:unhideWhenUsed/>
    <w:qFormat/>
    <w:rsid w:val="008545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nhideWhenUsed/>
    <w:qFormat/>
    <w:rsid w:val="008545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nhideWhenUsed/>
    <w:qFormat/>
    <w:rsid w:val="008545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45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45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45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45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le 1 - NAT Car"/>
    <w:basedOn w:val="Fuentedeprrafopredeter"/>
    <w:link w:val="Ttulo1"/>
    <w:rsid w:val="0085457B"/>
    <w:rPr>
      <w:rFonts w:asciiTheme="majorHAnsi" w:eastAsiaTheme="majorEastAsia" w:hAnsiTheme="majorHAnsi" w:cstheme="majorBidi"/>
      <w:color w:val="0F4761" w:themeColor="accent1" w:themeShade="BF"/>
      <w:sz w:val="40"/>
      <w:szCs w:val="40"/>
    </w:rPr>
  </w:style>
  <w:style w:type="character" w:customStyle="1" w:styleId="Ttulo2Car">
    <w:name w:val="Título 2 Car"/>
    <w:aliases w:val="Title2 - NAT Car"/>
    <w:basedOn w:val="Fuentedeprrafopredeter"/>
    <w:link w:val="Ttulo2"/>
    <w:rsid w:val="0085457B"/>
    <w:rPr>
      <w:rFonts w:asciiTheme="majorHAnsi" w:eastAsiaTheme="majorEastAsia" w:hAnsiTheme="majorHAnsi" w:cstheme="majorBidi"/>
      <w:color w:val="0F4761" w:themeColor="accent1" w:themeShade="BF"/>
      <w:sz w:val="32"/>
      <w:szCs w:val="32"/>
    </w:rPr>
  </w:style>
  <w:style w:type="character" w:customStyle="1" w:styleId="Ttulo3Car">
    <w:name w:val="Título 3 Car"/>
    <w:aliases w:val="Title 3 - NAT Car"/>
    <w:basedOn w:val="Fuentedeprrafopredeter"/>
    <w:link w:val="Ttulo3"/>
    <w:rsid w:val="008545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45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45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45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45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45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457B"/>
    <w:rPr>
      <w:rFonts w:eastAsiaTheme="majorEastAsia" w:cstheme="majorBidi"/>
      <w:color w:val="272727" w:themeColor="text1" w:themeTint="D8"/>
    </w:rPr>
  </w:style>
  <w:style w:type="paragraph" w:styleId="Ttulo">
    <w:name w:val="Title"/>
    <w:basedOn w:val="Normal"/>
    <w:next w:val="Normal"/>
    <w:link w:val="TtuloCar"/>
    <w:uiPriority w:val="10"/>
    <w:qFormat/>
    <w:rsid w:val="0085457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45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45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45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457B"/>
    <w:pPr>
      <w:spacing w:before="160"/>
      <w:jc w:val="center"/>
    </w:pPr>
    <w:rPr>
      <w:i/>
      <w:iCs/>
      <w:color w:val="404040" w:themeColor="text1" w:themeTint="BF"/>
    </w:rPr>
  </w:style>
  <w:style w:type="character" w:customStyle="1" w:styleId="CitaCar">
    <w:name w:val="Cita Car"/>
    <w:basedOn w:val="Fuentedeprrafopredeter"/>
    <w:link w:val="Cita"/>
    <w:uiPriority w:val="29"/>
    <w:rsid w:val="0085457B"/>
    <w:rPr>
      <w:i/>
      <w:iCs/>
      <w:color w:val="404040" w:themeColor="text1" w:themeTint="BF"/>
    </w:rPr>
  </w:style>
  <w:style w:type="paragraph" w:styleId="Prrafodelista">
    <w:name w:val="List Paragraph"/>
    <w:basedOn w:val="Normal"/>
    <w:uiPriority w:val="34"/>
    <w:qFormat/>
    <w:rsid w:val="0085457B"/>
    <w:pPr>
      <w:ind w:left="720"/>
      <w:contextualSpacing/>
    </w:pPr>
  </w:style>
  <w:style w:type="character" w:styleId="nfasisintenso">
    <w:name w:val="Intense Emphasis"/>
    <w:basedOn w:val="Fuentedeprrafopredeter"/>
    <w:uiPriority w:val="21"/>
    <w:qFormat/>
    <w:rsid w:val="0085457B"/>
    <w:rPr>
      <w:i/>
      <w:iCs/>
      <w:color w:val="0F4761" w:themeColor="accent1" w:themeShade="BF"/>
    </w:rPr>
  </w:style>
  <w:style w:type="paragraph" w:styleId="Citadestacada">
    <w:name w:val="Intense Quote"/>
    <w:basedOn w:val="Normal"/>
    <w:next w:val="Normal"/>
    <w:link w:val="CitadestacadaCar"/>
    <w:uiPriority w:val="30"/>
    <w:qFormat/>
    <w:rsid w:val="00854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457B"/>
    <w:rPr>
      <w:i/>
      <w:iCs/>
      <w:color w:val="0F4761" w:themeColor="accent1" w:themeShade="BF"/>
    </w:rPr>
  </w:style>
  <w:style w:type="character" w:styleId="Referenciaintensa">
    <w:name w:val="Intense Reference"/>
    <w:basedOn w:val="Fuentedeprrafopredeter"/>
    <w:uiPriority w:val="32"/>
    <w:qFormat/>
    <w:rsid w:val="0085457B"/>
    <w:rPr>
      <w:b/>
      <w:bCs/>
      <w:smallCaps/>
      <w:color w:val="0F4761" w:themeColor="accent1" w:themeShade="BF"/>
      <w:spacing w:val="5"/>
    </w:rPr>
  </w:style>
  <w:style w:type="character" w:styleId="Fuerte">
    <w:name w:val="Strong"/>
    <w:basedOn w:val="Fuentedeprrafopredeter"/>
    <w:uiPriority w:val="22"/>
    <w:qFormat/>
    <w:rsid w:val="0085457B"/>
    <w:rPr>
      <w:b/>
      <w:bCs/>
    </w:rPr>
  </w:style>
  <w:style w:type="character" w:styleId="Hipervnculo">
    <w:name w:val="Hyperlink"/>
    <w:basedOn w:val="Fuentedeprrafopredeter"/>
    <w:uiPriority w:val="99"/>
    <w:unhideWhenUsed/>
    <w:rsid w:val="0085457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504</Words>
  <Characters>2773</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Oriol Alàs Cercós</dc:creator>
  <cp:keywords/>
  <dc:description/>
  <cp:lastModifiedBy>Oriol Alàs Cercós</cp:lastModifiedBy>
  <cp:revision>1</cp:revision>
  <cp:lastPrinted>2026-02-21T08:13:00Z</cp:lastPrinted>
  <dcterms:created xsi:type="dcterms:W3CDTF">2026-02-21T08:12:00Z</dcterms:created>
  <dcterms:modified xsi:type="dcterms:W3CDTF">2026-02-21T08:14:00Z</dcterms:modified>
</cp:coreProperties>
</file>