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Calibri" w:cs="Calibri" w:eastAsia="Calibri" w:hAnsi="Calibri"/>
          <w:b/>
          <w:bCs/>
          <w:color w:val="1F3864"/>
          <w:sz w:val="24"/>
          <w:szCs w:val="24"/>
        </w:rPr>
        <w:t xml:space="preserve">VASANTDADA PATIL PRATISHTHAN'S COLLEGE OF ENGINEERING AND VISUAL ARTS</w:t>
      </w:r>
    </w:p>
    <w:p>
      <w:pPr>
        <w:spacing w:after="80"/>
        <w:jc w:val="center"/>
      </w:pPr>
      <w:r>
        <w:rPr>
          <w:rFonts w:ascii="Calibri" w:cs="Calibri" w:eastAsia="Calibri" w:hAnsi="Calibri"/>
          <w:color w:val="404040"/>
          <w:sz w:val="21"/>
          <w:szCs w:val="21"/>
        </w:rPr>
        <w:t xml:space="preserve">Department of Artificial Intelligence &amp; Data Science | Academic Year 2026–27</w:t>
      </w:r>
    </w:p>
    <w:p>
      <w:pPr>
        <w:spacing w:after="400"/>
        <w:jc w:val="center"/>
      </w:pPr>
      <w:r>
        <w:rPr>
          <w:rFonts w:ascii="Calibri" w:cs="Calibri" w:eastAsia="Calibri" w:hAnsi="Calibri"/>
          <w:color w:val="404040"/>
          <w:sz w:val="21"/>
          <w:szCs w:val="21"/>
        </w:rPr>
        <w:t xml:space="preserve">BE AI &amp; DS SEM VII — Major Project Review 1 | Group No: 18</w:t>
      </w:r>
    </w:p>
    <w:p>
      <w:pPr>
        <w:spacing w:after="40"/>
        <w:jc w:val="center"/>
      </w:pPr>
      <w:r>
        <w:rPr>
          <w:rFonts w:ascii="Calibri" w:cs="Calibri" w:eastAsia="Calibri" w:hAnsi="Calibri"/>
          <w:b/>
          <w:bCs/>
          <w:color w:val="1F3864"/>
          <w:sz w:val="40"/>
          <w:szCs w:val="40"/>
        </w:rPr>
        <w:t xml:space="preserve">Hierarchical Position Encoding for</w:t>
      </w:r>
    </w:p>
    <w:p>
      <w:pPr>
        <w:spacing w:after="80"/>
        <w:jc w:val="center"/>
      </w:pPr>
      <w:r>
        <w:rPr>
          <w:rFonts w:ascii="Calibri" w:cs="Calibri" w:eastAsia="Calibri" w:hAnsi="Calibri"/>
          <w:b/>
          <w:bCs/>
          <w:color w:val="1F3864"/>
          <w:sz w:val="40"/>
          <w:szCs w:val="40"/>
        </w:rPr>
        <w:t xml:space="preserve">Structure-Sensitive Semantic Dense Retrieval</w:t>
      </w:r>
    </w:p>
    <w:p>
      <w:pPr>
        <w:spacing w:after="400"/>
        <w:jc w:val="center"/>
      </w:pPr>
      <w:r>
        <w:rPr>
          <w:rFonts w:ascii="Calibri" w:cs="Calibri" w:eastAsia="Calibri" w:hAnsi="Calibri"/>
          <w:b/>
          <w:bCs/>
          <w:color w:val="2E75B6"/>
          <w:sz w:val="24"/>
          <w:szCs w:val="24"/>
        </w:rPr>
        <w:t xml:space="preserve">HiSE — ASL-TR-2026-002</w:t>
      </w:r>
    </w:p>
    <w:p>
      <w:pPr>
        <w:spacing w:after="80"/>
        <w:jc w:val="center"/>
      </w:pPr>
      <w:r>
        <w:rPr>
          <w:rFonts w:ascii="Calibri" w:cs="Calibri" w:eastAsia="Calibri" w:hAnsi="Calibri"/>
          <w:b/>
          <w:bCs/>
          <w:color w:val="000000"/>
          <w:sz w:val="22"/>
          <w:szCs w:val="22"/>
        </w:rPr>
        <w:t xml:space="preserve">Group Members</w:t>
      </w:r>
    </w:p>
    <w:p>
      <w:pPr>
        <w:spacing w:after="40"/>
        <w:jc w:val="center"/>
      </w:pPr>
      <w:r>
        <w:rPr>
          <w:rFonts w:ascii="Calibri" w:cs="Calibri" w:eastAsia="Calibri" w:hAnsi="Calibri"/>
          <w:color w:val="000000"/>
          <w:sz w:val="22"/>
          <w:szCs w:val="22"/>
        </w:rPr>
        <w:t xml:space="preserve">1.  Nilesh Sanyasi   —   VU2F2324013</w:t>
      </w:r>
    </w:p>
    <w:p>
      <w:pPr>
        <w:spacing w:after="40"/>
        <w:jc w:val="center"/>
      </w:pPr>
      <w:r>
        <w:rPr>
          <w:rFonts w:ascii="Calibri" w:cs="Calibri" w:eastAsia="Calibri" w:hAnsi="Calibri"/>
          <w:color w:val="000000"/>
          <w:sz w:val="22"/>
          <w:szCs w:val="22"/>
        </w:rPr>
        <w:t xml:space="preserve">2.  Maitreya Channe   —   VU2F2324015</w:t>
      </w:r>
    </w:p>
    <w:p>
      <w:pPr>
        <w:spacing w:after="40"/>
        <w:jc w:val="center"/>
      </w:pPr>
      <w:r>
        <w:rPr>
          <w:rFonts w:ascii="Calibri" w:cs="Calibri" w:eastAsia="Calibri" w:hAnsi="Calibri"/>
          <w:color w:val="000000"/>
          <w:sz w:val="22"/>
          <w:szCs w:val="22"/>
        </w:rPr>
        <w:t xml:space="preserve">3.  Sarthak Gavas   —   VU2F2324007</w:t>
      </w:r>
    </w:p>
    <w:p>
      <w:pPr>
        <w:spacing w:after="40"/>
        <w:jc w:val="center"/>
      </w:pPr>
      <w:r>
        <w:rPr>
          <w:rFonts w:ascii="Calibri" w:cs="Calibri" w:eastAsia="Calibri" w:hAnsi="Calibri"/>
          <w:color w:val="000000"/>
          <w:sz w:val="22"/>
          <w:szCs w:val="22"/>
        </w:rPr>
        <w:t xml:space="preserve">4.  Sairaj Gawde   —   VU2F2324008</w:t>
      </w:r>
    </w:p>
    <w:p>
      <w:pPr>
        <w:spacing w:after="40" w:before="200"/>
        <w:jc w:val="center"/>
      </w:pPr>
      <w:r>
        <w:rPr>
          <w:rFonts w:ascii="Calibri" w:cs="Calibri" w:eastAsia="Calibri" w:hAnsi="Calibri"/>
          <w:color w:val="2E75B6"/>
          <w:sz w:val="22"/>
          <w:szCs w:val="22"/>
        </w:rPr>
        <w:t xml:space="preserve">Project Guide: Dr. Alam Shaikh</w:t>
      </w:r>
    </w:p>
    <w:p>
      <w:r>
        <w:br w:type="page"/>
      </w:r>
    </w:p>
    <w:p>
      <w:pPr>
        <w:pStyle w:val="Heading1"/>
        <w:pBdr>
          <w:bottom w:val="single" w:color="2E75B6" w:sz="8"/>
        </w:pBdr>
        <w:spacing w:after="120" w:before="360"/>
      </w:pPr>
      <w:r>
        <w:rPr>
          <w:rFonts w:ascii="Calibri" w:cs="Calibri" w:eastAsia="Calibri" w:hAnsi="Calibri"/>
          <w:b/>
          <w:bCs/>
          <w:color w:val="1F3864"/>
          <w:sz w:val="32"/>
          <w:szCs w:val="32"/>
        </w:rPr>
        <w:t xml:space="preserve">1. Problem Definition</w:t>
      </w:r>
    </w:p>
    <w:p>
      <w:pPr>
        <w:spacing w:after="80" w:before="80"/>
      </w:pPr>
      <w:r>
        <w:rPr>
          <w:rFonts w:ascii="Calibri" w:cs="Calibri" w:eastAsia="Calibri" w:hAnsi="Calibri"/>
          <w:i/>
          <w:iCs/>
          <w:color w:val="404040"/>
          <w:sz w:val="22"/>
          <w:szCs w:val="22"/>
        </w:rPr>
        <w:t xml:space="preserve">When the same sentence means opposite things depending on where it appears in data — can the embedding model tell the difference?</w:t>
      </w:r>
    </w:p>
    <w:p>
      <w:pPr>
        <w:pStyle w:val="ListParagraph"/>
        <w:numPr>
          <w:ilvl w:val="0"/>
          <w:numId w:val="1"/>
        </w:numPr>
        <w:spacing w:after="60" w:before="60"/>
      </w:pPr>
      <w:r>
        <w:rPr>
          <w:rFonts w:ascii="Calibri" w:cs="Calibri" w:eastAsia="Calibri" w:hAnsi="Calibri"/>
          <w:color w:val="000000"/>
          <w:sz w:val="21"/>
          <w:szCs w:val="21"/>
        </w:rPr>
        <w:t xml:space="preserve">Every production embedding model encodes token position as a single integer: sequence position 1, 2, 3... 47. The dominant mechanism is Rotary Position Embedding (RoPE), which produces attention scores reflecting only linear distance between tokens.</w:t>
      </w:r>
    </w:p>
    <w:p>
      <w:pPr>
        <w:pStyle w:val="ListParagraph"/>
        <w:numPr>
          <w:ilvl w:val="0"/>
          <w:numId w:val="1"/>
        </w:numPr>
        <w:spacing w:after="60" w:before="60"/>
      </w:pPr>
      <w:r>
        <w:rPr>
          <w:rFonts w:ascii="Calibri" w:cs="Calibri" w:eastAsia="Calibri" w:hAnsi="Calibri"/>
          <w:color w:val="000000"/>
          <w:sz w:val="21"/>
          <w:szCs w:val="21"/>
        </w:rPr>
        <w:t xml:space="preserve">This architecture is blind to structural address — the heading path, table row-column coordinate, JSON key-path that governs what a token actually means in hierarchically structured data.</w:t>
      </w:r>
    </w:p>
    <w:p>
      <w:pPr>
        <w:pStyle w:val="ListParagraph"/>
        <w:numPr>
          <w:ilvl w:val="0"/>
          <w:numId w:val="1"/>
        </w:numPr>
        <w:spacing w:after="60" w:before="60"/>
      </w:pPr>
      <w:r>
        <w:rPr>
          <w:rFonts w:ascii="Calibri" w:cs="Calibri" w:eastAsia="Calibri" w:hAnsi="Calibri"/>
          <w:color w:val="000000"/>
          <w:sz w:val="21"/>
          <w:szCs w:val="21"/>
        </w:rPr>
        <w:t xml:space="preserve">The result is a systematic retrieval failure: tokens with near-identical surface text but structurally-opposed semantic roles are assigned dangerously similar embedding vectors, causing RAG systems to surface structurally wrong context and language models to reason confidently from incorrect information.</w:t>
      </w:r>
    </w:p>
    <w:p>
      <w:pPr>
        <w:pStyle w:val="ListParagraph"/>
        <w:numPr>
          <w:ilvl w:val="0"/>
          <w:numId w:val="1"/>
        </w:numPr>
        <w:spacing w:after="60" w:before="60"/>
      </w:pPr>
      <w:r>
        <w:rPr>
          <w:rFonts w:ascii="Calibri" w:cs="Calibri" w:eastAsia="Calibri" w:hAnsi="Calibri"/>
          <w:color w:val="000000"/>
          <w:sz w:val="21"/>
          <w:szCs w:val="21"/>
        </w:rPr>
        <w:t xml:space="preserve">None of the widely used embedding models — BGE-M3, Qwen3-Embedding, E5-Mistral, Nomic Embed — structurally discriminate. The architectural blind spot exists at the position encoding layer. Scaling training data over a broken inductive bias produces a more confident wrong answer, not a correct one.</w:t>
      </w:r>
    </w:p>
    <w:p>
      <w:pPr>
        <w:pStyle w:val="ListParagraph"/>
        <w:numPr>
          <w:ilvl w:val="0"/>
          <w:numId w:val="1"/>
        </w:numPr>
        <w:spacing w:after="60" w:before="60"/>
      </w:pPr>
      <w:r>
        <w:rPr>
          <w:rFonts w:ascii="Calibri" w:cs="Calibri" w:eastAsia="Calibri" w:hAnsi="Calibri"/>
          <w:color w:val="000000"/>
          <w:sz w:val="21"/>
          <w:szCs w:val="21"/>
        </w:rPr>
        <w:t xml:space="preserve">The problem is not data size. RoPE encodes one number per token — sequence position — and throws away every other dimension of where a token actually lives in data. The model did not fail on vocabulary. It failed on structure.</w:t>
      </w:r>
    </w:p>
    <w:p>
      <w:r>
        <w:br w:type="page"/>
      </w:r>
    </w:p>
    <w:p>
      <w:pPr>
        <w:pStyle w:val="Heading1"/>
        <w:pBdr>
          <w:bottom w:val="single" w:color="2E75B6" w:sz="8"/>
        </w:pBdr>
        <w:spacing w:after="120" w:before="360"/>
      </w:pPr>
      <w:r>
        <w:rPr>
          <w:rFonts w:ascii="Calibri" w:cs="Calibri" w:eastAsia="Calibri" w:hAnsi="Calibri"/>
          <w:b/>
          <w:bCs/>
          <w:color w:val="1F3864"/>
          <w:sz w:val="32"/>
          <w:szCs w:val="32"/>
        </w:rPr>
        <w:t xml:space="preserve">2. Introduction</w:t>
      </w:r>
    </w:p>
    <w:p>
      <w:pPr>
        <w:pStyle w:val="Heading2"/>
        <w:spacing w:after="80" w:before="280"/>
      </w:pPr>
      <w:r>
        <w:rPr>
          <w:rFonts w:ascii="Calibri" w:cs="Calibri" w:eastAsia="Calibri" w:hAnsi="Calibri"/>
          <w:b/>
          <w:bCs/>
          <w:color w:val="2E75B6"/>
          <w:sz w:val="26"/>
          <w:szCs w:val="26"/>
        </w:rPr>
        <w:t xml:space="preserve">2.1 The RAG Landscape and Retrieval Bottleneck</w:t>
      </w:r>
    </w:p>
    <w:p>
      <w:pPr>
        <w:pStyle w:val="ListParagraph"/>
        <w:numPr>
          <w:ilvl w:val="0"/>
          <w:numId w:val="1"/>
        </w:numPr>
        <w:spacing w:after="60" w:before="60"/>
      </w:pPr>
      <w:r>
        <w:rPr>
          <w:rFonts w:ascii="Calibri" w:cs="Calibri" w:eastAsia="Calibri" w:hAnsi="Calibri"/>
          <w:color w:val="000000"/>
          <w:sz w:val="21"/>
          <w:szCs w:val="21"/>
        </w:rPr>
        <w:t xml:space="preserve">The global RAG market is projected to grow from $2.33B in 2025 to $81.51B by 2035 (CAGR 42.7%), driven primarily by document retrieval, which accounts for 32.4% of all RAG revenue. Over 80% of enterprise data being retrieved is unstructured.</w:t>
      </w:r>
    </w:p>
    <w:p>
      <w:pPr>
        <w:pStyle w:val="ListParagraph"/>
        <w:numPr>
          <w:ilvl w:val="0"/>
          <w:numId w:val="1"/>
        </w:numPr>
        <w:spacing w:after="60" w:before="60"/>
      </w:pPr>
      <w:r>
        <w:rPr>
          <w:rFonts w:ascii="Calibri" w:cs="Calibri" w:eastAsia="Calibri" w:hAnsi="Calibri"/>
          <w:color w:val="000000"/>
          <w:sz w:val="21"/>
          <w:szCs w:val="21"/>
        </w:rPr>
        <w:t xml:space="preserve">71% of organizations use GenAI regularly yet only 17% report meaningful business impact. The bottleneck is not model capability. It is retrieval quality.</w:t>
      </w:r>
    </w:p>
    <w:p>
      <w:pPr>
        <w:pStyle w:val="ListParagraph"/>
        <w:numPr>
          <w:ilvl w:val="0"/>
          <w:numId w:val="1"/>
        </w:numPr>
        <w:spacing w:after="60" w:before="60"/>
      </w:pPr>
      <w:r>
        <w:rPr>
          <w:rFonts w:ascii="Calibri" w:cs="Calibri" w:eastAsia="Calibri" w:hAnsi="Calibri"/>
          <w:color w:val="000000"/>
          <w:sz w:val="21"/>
          <w:szCs w:val="21"/>
        </w:rPr>
        <w:t xml:space="preserve">Naive RAG achieves only 10–40% success rates in enterprise environments. Retrieval failure — not generation failure — is the primary cause of wrong answers in production AI systems.</w:t>
      </w:r>
    </w:p>
    <w:p>
      <w:pPr>
        <w:pStyle w:val="Heading2"/>
        <w:spacing w:after="80" w:before="280"/>
      </w:pPr>
      <w:r>
        <w:rPr>
          <w:rFonts w:ascii="Calibri" w:cs="Calibri" w:eastAsia="Calibri" w:hAnsi="Calibri"/>
          <w:b/>
          <w:bCs/>
          <w:color w:val="2E75B6"/>
          <w:sz w:val="26"/>
          <w:szCs w:val="26"/>
        </w:rPr>
        <w:t xml:space="preserve">2.2 The Production Pipeline</w:t>
      </w:r>
    </w:p>
    <w:p>
      <w:pPr>
        <w:spacing w:after="80" w:before="80"/>
      </w:pPr>
      <w:r>
        <w:rPr>
          <w:rFonts w:ascii="Courier New" w:cs="Courier New" w:eastAsia="Courier New" w:hAnsi="Courier New"/>
          <w:color w:val="2E75B6"/>
          <w:sz w:val="22"/>
          <w:szCs w:val="22"/>
        </w:rPr>
        <w:t xml:space="preserve">Document → Chunk → Embed (RoPE) → Vector DB → Query Match → LLM</w:t>
      </w:r>
    </w:p>
    <w:p>
      <w:pPr>
        <w:pStyle w:val="ListParagraph"/>
        <w:numPr>
          <w:ilvl w:val="0"/>
          <w:numId w:val="1"/>
        </w:numPr>
        <w:spacing w:after="60" w:before="60"/>
      </w:pPr>
      <w:r>
        <w:rPr>
          <w:rFonts w:ascii="Calibri" w:cs="Calibri" w:eastAsia="Calibri" w:hAnsi="Calibri"/>
          <w:color w:val="000000"/>
          <w:sz w:val="21"/>
          <w:szCs w:val="21"/>
        </w:rPr>
        <w:t xml:space="preserve">BGE-M3, Qwen3-Embedding, E5-Mistral, Nomic Embed — all encode token position as a single integer via RoPE. Linear sequence distance is the only positional signal available to the model during embedding.</w:t>
      </w:r>
    </w:p>
    <w:p>
      <w:pPr>
        <w:pStyle w:val="ListParagraph"/>
        <w:numPr>
          <w:ilvl w:val="0"/>
          <w:numId w:val="1"/>
        </w:numPr>
        <w:spacing w:after="60" w:before="60"/>
      </w:pPr>
      <w:r>
        <w:rPr>
          <w:rFonts w:ascii="Calibri" w:cs="Calibri" w:eastAsia="Calibri" w:hAnsi="Calibri"/>
          <w:color w:val="000000"/>
          <w:sz w:val="21"/>
          <w:szCs w:val="21"/>
        </w:rPr>
        <w:t xml:space="preserve">Every production RAG pipeline today is only as good as its embedding model — and every embedding model has the same architectural blind spot.</w:t>
      </w:r>
    </w:p>
    <w:p>
      <w:pPr>
        <w:pStyle w:val="Heading2"/>
        <w:spacing w:after="80" w:before="280"/>
      </w:pPr>
      <w:r>
        <w:rPr>
          <w:rFonts w:ascii="Calibri" w:cs="Calibri" w:eastAsia="Calibri" w:hAnsi="Calibri"/>
          <w:b/>
          <w:bCs/>
          <w:color w:val="2E75B6"/>
          <w:sz w:val="26"/>
          <w:szCs w:val="26"/>
        </w:rPr>
        <w:t xml:space="preserve">2.3 HiSE — The Proposed Solution</w:t>
      </w:r>
    </w:p>
    <w:p>
      <w:pPr>
        <w:pStyle w:val="ListParagraph"/>
        <w:numPr>
          <w:ilvl w:val="0"/>
          <w:numId w:val="1"/>
        </w:numPr>
        <w:spacing w:after="60" w:before="60"/>
      </w:pPr>
      <w:r>
        <w:rPr>
          <w:rFonts w:ascii="Calibri" w:cs="Calibri" w:eastAsia="Calibri" w:hAnsi="Calibri"/>
          <w:color w:val="000000"/>
          <w:sz w:val="21"/>
          <w:szCs w:val="21"/>
        </w:rPr>
        <w:t xml:space="preserve">HiSE (Hierarchical Structure-aware Embeddings) incorporates HiSA (Hierarchical Structural Addressing): a novel positional encoding mechanism extending RoPE from 1-dimensional sequence position to a composite multi-dimensional structural address across all structured data formats — tabular, JSON, HTML/XML, Markdown, and complex documents.</w:t>
      </w:r>
    </w:p>
    <w:p>
      <w:pPr>
        <w:pStyle w:val="ListParagraph"/>
        <w:numPr>
          <w:ilvl w:val="0"/>
          <w:numId w:val="1"/>
        </w:numPr>
        <w:spacing w:after="60" w:before="60"/>
      </w:pPr>
      <w:r>
        <w:rPr>
          <w:rFonts w:ascii="Calibri" w:cs="Calibri" w:eastAsia="Calibri" w:hAnsi="Calibri"/>
          <w:color w:val="000000"/>
          <w:sz w:val="21"/>
          <w:szCs w:val="21"/>
        </w:rPr>
        <w:t xml:space="preserve">The core formula changes from θ = θ₁ × m (standard RoPE) to θ = θ₁m + θ₂d + θ₃p + θ₄s (HiSA), where m = sequence position, d = depth in data tree, p = parent section hash, s = sibling index. Only 96 new scalar parameters added.</w:t>
      </w:r>
    </w:p>
    <w:p>
      <w:r>
        <w:br w:type="page"/>
      </w:r>
    </w:p>
    <w:p>
      <w:pPr>
        <w:pStyle w:val="Heading1"/>
        <w:pBdr>
          <w:bottom w:val="single" w:color="2E75B6" w:sz="8"/>
        </w:pBdr>
        <w:spacing w:after="120" w:before="360"/>
      </w:pPr>
      <w:r>
        <w:rPr>
          <w:rFonts w:ascii="Calibri" w:cs="Calibri" w:eastAsia="Calibri" w:hAnsi="Calibri"/>
          <w:b/>
          <w:bCs/>
          <w:color w:val="1F3864"/>
          <w:sz w:val="32"/>
          <w:szCs w:val="32"/>
        </w:rPr>
        <w:t xml:space="preserve">3. Goals and Objectives</w:t>
      </w:r>
    </w:p>
    <w:p>
      <w:pPr>
        <w:pStyle w:val="Heading2"/>
        <w:spacing w:after="80" w:before="280"/>
      </w:pPr>
      <w:r>
        <w:rPr>
          <w:rFonts w:ascii="Calibri" w:cs="Calibri" w:eastAsia="Calibri" w:hAnsi="Calibri"/>
          <w:b/>
          <w:bCs/>
          <w:color w:val="2E75B6"/>
          <w:sz w:val="26"/>
          <w:szCs w:val="26"/>
        </w:rPr>
        <w:t xml:space="preserve">Hypothesis</w:t>
      </w:r>
    </w:p>
    <w:p>
      <w:pPr>
        <w:spacing w:after="80" w:before="80"/>
      </w:pPr>
      <w:r>
        <w:rPr>
          <w:rFonts w:ascii="Calibri" w:cs="Calibri" w:eastAsia="Calibri" w:hAnsi="Calibri"/>
          <w:i/>
          <w:iCs/>
          <w:color w:val="404040"/>
          <w:sz w:val="21"/>
          <w:szCs w:val="21"/>
        </w:rPr>
        <w:t xml:space="preserve">Explicit structural positional encoding enables transformers to distinguish semantically similar but structurally different content across all structured data formats.</w:t>
      </w:r>
    </w:p>
    <w:p>
      <w:pPr>
        <w:pStyle w:val="Heading2"/>
        <w:spacing w:after="80" w:before="280"/>
      </w:pPr>
      <w:r>
        <w:rPr>
          <w:rFonts w:ascii="Calibri" w:cs="Calibri" w:eastAsia="Calibri" w:hAnsi="Calibri"/>
          <w:b/>
          <w:bCs/>
          <w:color w:val="2E75B6"/>
          <w:sz w:val="26"/>
          <w:szCs w:val="26"/>
        </w:rPr>
        <w:t xml:space="preserve">Goals</w:t>
      </w:r>
    </w:p>
    <w:p>
      <w:pPr>
        <w:pStyle w:val="ListParagraph"/>
        <w:numPr>
          <w:ilvl w:val="0"/>
          <w:numId w:val="1"/>
        </w:numPr>
        <w:spacing w:after="60" w:before="60"/>
      </w:pPr>
      <w:r>
        <w:rPr>
          <w:rFonts w:ascii="Calibri" w:cs="Calibri" w:eastAsia="Calibri" w:hAnsi="Calibri"/>
          <w:color w:val="000000"/>
          <w:sz w:val="21"/>
          <w:szCs w:val="21"/>
        </w:rPr>
        <w:t xml:space="preserve">G1 — Novel Architecture: Design HiSA — extend RoPE from 1D to composite multi-dimensional structural address, format-agnostic across tabular, JSON, HTML/XML, Markdown, and complex documents.</w:t>
      </w:r>
    </w:p>
    <w:p>
      <w:pPr>
        <w:pStyle w:val="ListParagraph"/>
        <w:numPr>
          <w:ilvl w:val="0"/>
          <w:numId w:val="1"/>
        </w:numPr>
        <w:spacing w:after="60" w:before="60"/>
      </w:pPr>
      <w:r>
        <w:rPr>
          <w:rFonts w:ascii="Calibri" w:cs="Calibri" w:eastAsia="Calibri" w:hAnsi="Calibri"/>
          <w:color w:val="000000"/>
          <w:sz w:val="21"/>
          <w:szCs w:val="21"/>
        </w:rPr>
        <w:t xml:space="preserve">G2 — New Benchmark: Build StructEval-Bench v1 — first structural retrieval benchmark with structurally-adversarial test pairs.</w:t>
      </w:r>
    </w:p>
    <w:p>
      <w:pPr>
        <w:pStyle w:val="ListParagraph"/>
        <w:numPr>
          <w:ilvl w:val="0"/>
          <w:numId w:val="1"/>
        </w:numPr>
        <w:spacing w:after="60" w:before="60"/>
      </w:pPr>
      <w:r>
        <w:rPr>
          <w:rFonts w:ascii="Calibri" w:cs="Calibri" w:eastAsia="Calibri" w:hAnsi="Calibri"/>
          <w:color w:val="000000"/>
          <w:sz w:val="21"/>
          <w:szCs w:val="21"/>
        </w:rPr>
        <w:t xml:space="preserve">G3 — Prove the Claim: Architecture — not data or scale — fixes structural retrieval failure.</w:t>
      </w:r>
    </w:p>
    <w:p>
      <w:pPr>
        <w:pStyle w:val="Heading2"/>
        <w:spacing w:after="80" w:before="280"/>
      </w:pPr>
      <w:r>
        <w:rPr>
          <w:rFonts w:ascii="Calibri" w:cs="Calibri" w:eastAsia="Calibri" w:hAnsi="Calibri"/>
          <w:b/>
          <w:bCs/>
          <w:color w:val="2E75B6"/>
          <w:sz w:val="26"/>
          <w:szCs w:val="26"/>
        </w:rPr>
        <w:t xml:space="preserve">Objectives</w:t>
      </w:r>
    </w:p>
    <w:p>
      <w:pPr>
        <w:pStyle w:val="ListParagraph"/>
        <w:numPr>
          <w:ilvl w:val="0"/>
          <w:numId w:val="1"/>
        </w:numPr>
        <w:spacing w:after="60" w:before="60"/>
      </w:pPr>
      <w:r>
        <w:rPr>
          <w:rFonts w:ascii="Calibri" w:cs="Calibri" w:eastAsia="Calibri" w:hAnsi="Calibri"/>
          <w:color w:val="000000"/>
          <w:sz w:val="21"/>
          <w:szCs w:val="21"/>
        </w:rPr>
        <w:t xml:space="preserve">O1 — Train HiSE-Embed: embedding model with SLM backbone using HiSA instead of standard RoPE. Target: &lt; 300M parameters.</w:t>
      </w:r>
    </w:p>
    <w:p>
      <w:pPr>
        <w:pStyle w:val="ListParagraph"/>
        <w:numPr>
          <w:ilvl w:val="0"/>
          <w:numId w:val="1"/>
        </w:numPr>
        <w:spacing w:after="60" w:before="60"/>
      </w:pPr>
      <w:r>
        <w:rPr>
          <w:rFonts w:ascii="Calibri" w:cs="Calibri" w:eastAsia="Calibri" w:hAnsi="Calibri"/>
          <w:color w:val="000000"/>
          <w:sz w:val="21"/>
          <w:szCs w:val="21"/>
        </w:rPr>
        <w:t xml:space="preserve">O2 — Beat Baseline on SDS: achieve statistically significant improvement in Structural Discrimination Score on StructEval-Bench v1 vs same-size RoPE baseline.</w:t>
      </w:r>
    </w:p>
    <w:p>
      <w:pPr>
        <w:pStyle w:val="ListParagraph"/>
        <w:numPr>
          <w:ilvl w:val="0"/>
          <w:numId w:val="1"/>
        </w:numPr>
        <w:spacing w:after="60" w:before="60"/>
      </w:pPr>
      <w:r>
        <w:rPr>
          <w:rFonts w:ascii="Calibri" w:cs="Calibri" w:eastAsia="Calibri" w:hAnsi="Calibri"/>
          <w:color w:val="000000"/>
          <w:sz w:val="21"/>
          <w:szCs w:val="21"/>
        </w:rPr>
        <w:t xml:space="preserve">O3 — Build StructEval-Bench v1: 300–500 structurally-adversarial query-document pairs across Markdown, Tables, JSON.</w:t>
      </w:r>
    </w:p>
    <w:p>
      <w:pPr>
        <w:pStyle w:val="ListParagraph"/>
        <w:numPr>
          <w:ilvl w:val="0"/>
          <w:numId w:val="1"/>
        </w:numPr>
        <w:spacing w:after="60" w:before="60"/>
      </w:pPr>
      <w:r>
        <w:rPr>
          <w:rFonts w:ascii="Calibri" w:cs="Calibri" w:eastAsia="Calibri" w:hAnsi="Calibri"/>
          <w:color w:val="000000"/>
          <w:sz w:val="21"/>
          <w:szCs w:val="21"/>
        </w:rPr>
        <w:t xml:space="preserve">O4 — BEIR/MTEB Parity: maintain nDCG@10 on BEIR/MTEB subsets within ±2% margin of error.</w:t>
      </w:r>
    </w:p>
    <w:p>
      <w:pPr>
        <w:pStyle w:val="ListParagraph"/>
        <w:numPr>
          <w:ilvl w:val="0"/>
          <w:numId w:val="1"/>
        </w:numPr>
        <w:spacing w:after="60" w:before="60"/>
      </w:pPr>
      <w:r>
        <w:rPr>
          <w:rFonts w:ascii="Calibri" w:cs="Calibri" w:eastAsia="Calibri" w:hAnsi="Calibri"/>
          <w:color w:val="000000"/>
          <w:sz w:val="21"/>
          <w:szCs w:val="21"/>
        </w:rPr>
        <w:t xml:space="preserve">O5 — Ablation + Release: ablation study isolating HiSA as the only change. Release HiSE-Embed, StructEval-Bench v1, and HiSA implementation under asl-research/hise. Submit to ICNLP 2027 by November 30, 2026.</w:t>
      </w:r>
    </w:p>
    <w:p>
      <w:r>
        <w:br w:type="page"/>
      </w:r>
    </w:p>
    <w:p>
      <w:pPr>
        <w:pStyle w:val="Heading1"/>
        <w:pBdr>
          <w:bottom w:val="single" w:color="2E75B6" w:sz="8"/>
        </w:pBdr>
        <w:spacing w:after="120" w:before="360"/>
      </w:pPr>
      <w:r>
        <w:rPr>
          <w:rFonts w:ascii="Calibri" w:cs="Calibri" w:eastAsia="Calibri" w:hAnsi="Calibri"/>
          <w:b/>
          <w:bCs/>
          <w:color w:val="1F3864"/>
          <w:sz w:val="32"/>
          <w:szCs w:val="32"/>
        </w:rPr>
        <w:t xml:space="preserve">4. Motivation</w:t>
      </w:r>
    </w:p>
    <w:p>
      <w:pPr>
        <w:pStyle w:val="ListParagraph"/>
        <w:numPr>
          <w:ilvl w:val="0"/>
          <w:numId w:val="1"/>
        </w:numPr>
        <w:spacing w:after="60" w:before="60"/>
      </w:pPr>
      <w:r>
        <w:rPr>
          <w:rFonts w:ascii="Calibri" w:cs="Calibri" w:eastAsia="Calibri" w:hAnsi="Calibri"/>
          <w:color w:val="000000"/>
          <w:sz w:val="21"/>
          <w:szCs w:val="21"/>
        </w:rPr>
        <w:t xml:space="preserve">Structure Carries Meaning: Headings, tables, JSON key-paths, and HTML node hierarchies encode semantics beyond textual content. The same sentence under '## Q3 Performance' and '## Q3 Risks' means opposite things. Current embedding models discard this entirely.</w:t>
      </w:r>
    </w:p>
    <w:p>
      <w:pPr>
        <w:pStyle w:val="ListParagraph"/>
        <w:numPr>
          <w:ilvl w:val="0"/>
          <w:numId w:val="1"/>
        </w:numPr>
        <w:spacing w:after="60" w:before="60"/>
      </w:pPr>
      <w:r>
        <w:rPr>
          <w:rFonts w:ascii="Calibri" w:cs="Calibri" w:eastAsia="Calibri" w:hAnsi="Calibri"/>
          <w:color w:val="000000"/>
          <w:sz w:val="21"/>
          <w:szCs w:val="21"/>
        </w:rPr>
        <w:t xml:space="preserve">Current Models Are Structure-Blind: Modern embedding architectures preserve token order — not data hierarchy. Depth, parent path, sibling index are mathematically invisible to every production model.</w:t>
      </w:r>
    </w:p>
    <w:p>
      <w:pPr>
        <w:pStyle w:val="ListParagraph"/>
        <w:numPr>
          <w:ilvl w:val="0"/>
          <w:numId w:val="1"/>
        </w:numPr>
        <w:spacing w:after="60" w:before="60"/>
      </w:pPr>
      <w:r>
        <w:rPr>
          <w:rFonts w:ascii="Calibri" w:cs="Calibri" w:eastAsia="Calibri" w:hAnsi="Calibri"/>
          <w:color w:val="000000"/>
          <w:sz w:val="21"/>
          <w:szCs w:val="21"/>
        </w:rPr>
        <w:t xml:space="preserve">Retrieval Fails Before Generation: Incorrect embeddings propagate structural errors throughout the RAG pipeline. The higher the structural complexity of the data, the more confidently wrong the retrieval becomes.</w:t>
      </w:r>
    </w:p>
    <w:p>
      <w:pPr>
        <w:pStyle w:val="ListParagraph"/>
        <w:numPr>
          <w:ilvl w:val="0"/>
          <w:numId w:val="1"/>
        </w:numPr>
        <w:spacing w:after="60" w:before="60"/>
      </w:pPr>
      <w:r>
        <w:rPr>
          <w:rFonts w:ascii="Calibri" w:cs="Calibri" w:eastAsia="Calibri" w:hAnsi="Calibri"/>
          <w:color w:val="000000"/>
          <w:sz w:val="21"/>
          <w:szCs w:val="21"/>
        </w:rPr>
        <w:t xml:space="preserve">HiSE Addresses the Root Cause: Model structural context explicitly instead of scaling parameters or training data. The fix is at the positional encoding layer — not around it.</w:t>
      </w:r>
    </w:p>
    <w:p>
      <w:pPr>
        <w:pStyle w:val="ListParagraph"/>
        <w:numPr>
          <w:ilvl w:val="0"/>
          <w:numId w:val="1"/>
        </w:numPr>
        <w:spacing w:after="60" w:before="60"/>
      </w:pPr>
      <w:r>
        <w:rPr>
          <w:rFonts w:ascii="Calibri" w:cs="Calibri" w:eastAsia="Calibri" w:hAnsi="Calibri"/>
          <w:color w:val="000000"/>
          <w:sz w:val="21"/>
          <w:szCs w:val="21"/>
        </w:rPr>
        <w:t xml:space="preserve">Research Gap in Positional Encoding: Hierarchical structural position remains largely unexplored for dense retrieval. HiSE is motivated by the need to make dense retrieval understand not only what information says, but also where it exists within data's structure.</w:t>
      </w:r>
    </w:p>
    <w:p>
      <w:r>
        <w:br w:type="page"/>
      </w:r>
    </w:p>
    <w:p>
      <w:pPr>
        <w:pStyle w:val="Heading1"/>
        <w:pBdr>
          <w:bottom w:val="single" w:color="2E75B6" w:sz="8"/>
        </w:pBdr>
        <w:spacing w:after="120" w:before="360"/>
      </w:pPr>
      <w:r>
        <w:rPr>
          <w:rFonts w:ascii="Calibri" w:cs="Calibri" w:eastAsia="Calibri" w:hAnsi="Calibri"/>
          <w:b/>
          <w:bCs/>
          <w:color w:val="1F3864"/>
          <w:sz w:val="32"/>
          <w:szCs w:val="32"/>
        </w:rPr>
        <w:t xml:space="preserve">5. Literature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600"/>
        <w:gridCol w:w="3000"/>
        <w:gridCol w:w="3760"/>
      </w:tblGrid>
      <w:tr>
        <w:tc>
          <w:tcPr>
            <w:shd w:fill="2E75B6"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Paper</w:t>
            </w:r>
          </w:p>
        </w:tc>
        <w:tc>
          <w:tcPr>
            <w:shd w:fill="2E75B6"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Year</w:t>
            </w:r>
          </w:p>
        </w:tc>
        <w:tc>
          <w:tcPr>
            <w:shd w:fill="2E75B6"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What it did</w:t>
            </w:r>
          </w:p>
        </w:tc>
        <w:tc>
          <w:tcPr>
            <w:shd w:fill="2E75B6"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Why it's not enough</w:t>
            </w:r>
          </w:p>
        </w:tc>
      </w:tr>
      <w:tr>
        <w:tc>
          <w:tcPr>
            <w:shd w:fill="F2F2F2" w:val="clea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RoPE — RoFormer (Su et al.)</w:t>
            </w:r>
          </w:p>
        </w:tc>
        <w:tc>
          <w:tcPr>
            <w:shd w:fill="F2F2F2" w:val="clea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2024</w:t>
            </w:r>
          </w:p>
        </w:tc>
        <w:tc>
          <w:tcPr>
            <w:shd w:fill="F2F2F2" w:val="clea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Introduced rotary position embedding — rotating Q and K vectors by angle proportional to sequence position</w:t>
            </w:r>
          </w:p>
        </w:tc>
        <w:tc>
          <w:tcPr>
            <w:shd w:fill="F2F2F2" w:val="clea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Encodes only 1D linear position; blind to heading path, table coordinates, JSON key-path</w:t>
            </w:r>
          </w:p>
        </w:tc>
      </w:tr>
      <w:tr>
        <w:tc>
          <w:tcP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Attention Is All You Need (Vaswani et al.)</w:t>
            </w:r>
          </w:p>
        </w:tc>
        <w:tc>
          <w:tcP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2017</w:t>
            </w:r>
          </w:p>
        </w:tc>
        <w:tc>
          <w:tcP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Foundational transformer with sinusoidal position encodings; established Q·K attention framework</w:t>
            </w:r>
          </w:p>
        </w:tc>
        <w:tc>
          <w:tcP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No structural awareness; position = flat integer sequence only</w:t>
            </w:r>
          </w:p>
        </w:tc>
      </w:tr>
      <w:tr>
        <w:tc>
          <w:tcPr>
            <w:shd w:fill="F2F2F2" w:val="clea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TUTA (Microsoft)</w:t>
            </w:r>
          </w:p>
        </w:tc>
        <w:tc>
          <w:tcPr>
            <w:shd w:fill="F2F2F2" w:val="clea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2021</w:t>
            </w:r>
          </w:p>
        </w:tc>
        <w:tc>
          <w:tcPr>
            <w:shd w:fill="F2F2F2" w:val="clea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Bi-dimensional tree coords for table structure encoding</w:t>
            </w:r>
          </w:p>
        </w:tc>
        <w:tc>
          <w:tcPr>
            <w:shd w:fill="F2F2F2" w:val="clea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Classification only — no contrastive retrieval training</w:t>
            </w:r>
          </w:p>
        </w:tc>
      </w:tr>
      <w:tr>
        <w:tc>
          <w:tcP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DOM-LM</w:t>
            </w:r>
          </w:p>
        </w:tc>
        <w:tc>
          <w:tcP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2022</w:t>
            </w:r>
          </w:p>
        </w:tc>
        <w:tc>
          <w:tcP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Depth + parent + sibling PE in BERT for HTML documents</w:t>
            </w:r>
          </w:p>
        </w:tc>
        <w:tc>
          <w:tcP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HTML-only, additive not rotational, no RAG use case</w:t>
            </w:r>
          </w:p>
        </w:tc>
      </w:tr>
      <w:tr>
        <w:tc>
          <w:tcPr>
            <w:shd w:fill="F2F2F2" w:val="clea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Tree-Enhanced CodeBERTa</w:t>
            </w:r>
          </w:p>
        </w:tc>
        <w:tc>
          <w:tcPr>
            <w:shd w:fill="F2F2F2" w:val="clea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2025</w:t>
            </w:r>
          </w:p>
        </w:tc>
        <w:tc>
          <w:tcPr>
            <w:shd w:fill="F2F2F2" w:val="clea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AST structural PE integrated into CodeBERTa</w:t>
            </w:r>
          </w:p>
        </w:tc>
        <w:tc>
          <w:tcPr>
            <w:shd w:fill="F2F2F2" w:val="clea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Code/AST only, classification tasks, not a retrieval model</w:t>
            </w:r>
          </w:p>
        </w:tc>
      </w:tr>
      <w:tr>
        <w:tc>
          <w:tcP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TabBiN (EDBT)</w:t>
            </w:r>
          </w:p>
        </w:tc>
        <w:tc>
          <w:tcP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2025</w:t>
            </w:r>
          </w:p>
        </w:tc>
        <w:tc>
          <w:tcP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2D tabular coordinates + visibility matrix for tables</w:t>
            </w:r>
          </w:p>
        </w:tc>
        <w:tc>
          <w:tcP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Table-specific, no cross-format generalization, no dense retrieval</w:t>
            </w:r>
          </w:p>
        </w:tc>
      </w:tr>
      <w:tr>
        <w:tc>
          <w:tcPr>
            <w:shd w:fill="F2F2F2" w:val="clea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SEAL (EMNLP)</w:t>
            </w:r>
          </w:p>
        </w:tc>
        <w:tc>
          <w:tcPr>
            <w:shd w:fill="F2F2F2" w:val="clea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2025</w:t>
            </w:r>
          </w:p>
        </w:tc>
        <w:tc>
          <w:tcPr>
            <w:shd w:fill="F2F2F2" w:val="clea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Structure-aware contrastive learning</w:t>
            </w:r>
          </w:p>
        </w:tc>
        <w:tc>
          <w:tcPr>
            <w:shd w:fill="F2F2F2" w:val="clea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Does not introduce a unified rotational positional encoding mechanism</w:t>
            </w:r>
          </w:p>
        </w:tc>
      </w:tr>
      <w:tr>
        <w:tc>
          <w:tcP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Struc-EMB (Georgia Tech)</w:t>
            </w:r>
          </w:p>
        </w:tc>
        <w:tc>
          <w:tcP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2025</w:t>
            </w:r>
          </w:p>
        </w:tc>
        <w:tc>
          <w:tcP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Structural context in LLM-based embedders via prompt concatenation</w:t>
            </w:r>
          </w:p>
        </w:tc>
        <w:tc>
          <w:tcP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Prompt-level workaround — no architectural PE change, no structural hard negatives</w:t>
            </w:r>
          </w:p>
        </w:tc>
      </w:tr>
      <w:tr>
        <w:tc>
          <w:tcPr>
            <w:shd w:fill="F2F2F2" w:val="clea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RethinkRoPE</w:t>
            </w:r>
          </w:p>
        </w:tc>
        <w:tc>
          <w:tcPr>
            <w:shd w:fill="F2F2F2" w:val="clea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2025</w:t>
            </w:r>
          </w:p>
        </w:tc>
        <w:tc>
          <w:tcPr>
            <w:shd w:fill="F2F2F2" w:val="clea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N-dimensional RoPE extension blueprint (Lie group theory)</w:t>
            </w:r>
          </w:p>
        </w:tc>
        <w:tc>
          <w:tcPr>
            <w:shd w:fill="F2F2F2" w:val="clea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Vision/spatial domains only — not applied to document hierarchy or text retrieval</w:t>
            </w:r>
          </w:p>
        </w:tc>
      </w:tr>
      <w:tr>
        <w:tc>
          <w:tcP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BEIR (Thakur et al.)</w:t>
            </w:r>
          </w:p>
        </w:tc>
        <w:tc>
          <w:tcP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2021</w:t>
            </w:r>
          </w:p>
        </w:tc>
        <w:tc>
          <w:tcP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Heterogeneous benchmark for zero-shot evaluation of IR models</w:t>
            </w:r>
          </w:p>
        </w:tc>
        <w:tc>
          <w:tcP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Zero structurally-adversarial test pairs — cannot measure structural discrimination failure</w:t>
            </w:r>
          </w:p>
        </w:tc>
      </w:tr>
      <w:tr>
        <w:tc>
          <w:tcPr>
            <w:shd w:fill="F2F2F2" w:val="clea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MTEB (Muennighoff et al.)</w:t>
            </w:r>
          </w:p>
        </w:tc>
        <w:tc>
          <w:tcPr>
            <w:shd w:fill="F2F2F2" w:val="clea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2023</w:t>
            </w:r>
          </w:p>
        </w:tc>
        <w:tc>
          <w:tcPr>
            <w:shd w:fill="F2F2F2" w:val="clea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Massive text embedding benchmark covering 56 tasks</w:t>
            </w:r>
          </w:p>
        </w:tc>
        <w:tc>
          <w:tcPr>
            <w:shd w:fill="F2F2F2" w:val="clea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Zero structurally-adversarial test pairs — does not expose the structural blindness failure mode</w:t>
            </w:r>
          </w:p>
        </w:tc>
      </w:tr>
      <w:tr>
        <w:tc>
          <w:tcP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Adaptive Quantitative IDRLA</w:t>
            </w:r>
          </w:p>
        </w:tc>
        <w:tc>
          <w:tcP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w:t>
            </w:r>
          </w:p>
        </w:tc>
        <w:tc>
          <w:tcP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Introduces Partially Observable Markov Decision Process for information retrieval</w:t>
            </w:r>
          </w:p>
        </w:tc>
        <w:tc>
          <w:tcP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Theoretical framing only — not applied to positional encoding or structural address inference</w:t>
            </w:r>
          </w:p>
        </w:tc>
      </w:tr>
    </w:tbl>
    <w:p>
      <w:pPr>
        <w:spacing w:after="160"/>
      </w:pPr>
    </w:p>
    <w:p>
      <w:pPr>
        <w:spacing w:after="80" w:before="80"/>
      </w:pPr>
      <w:r>
        <w:rPr>
          <w:rFonts w:ascii="Calibri" w:cs="Calibri" w:eastAsia="Calibri" w:hAnsi="Calibri"/>
          <w:i/>
          <w:iCs/>
          <w:color w:val="404040"/>
          <w:sz w:val="21"/>
          <w:szCs w:val="21"/>
        </w:rPr>
        <w:t xml:space="preserve">Key observation: Structural understanding, data encoding, and dense retrieval each advanced independently. No work unified them — no system embeds a composite structural address across data formats into the rotational geometry of attention.</w:t>
      </w:r>
    </w:p>
    <w:p>
      <w:r>
        <w:br w:type="page"/>
      </w:r>
    </w:p>
    <w:p>
      <w:pPr>
        <w:pStyle w:val="Heading1"/>
        <w:pBdr>
          <w:bottom w:val="single" w:color="2E75B6" w:sz="8"/>
        </w:pBdr>
        <w:spacing w:after="120" w:before="360"/>
      </w:pPr>
      <w:r>
        <w:rPr>
          <w:rFonts w:ascii="Calibri" w:cs="Calibri" w:eastAsia="Calibri" w:hAnsi="Calibri"/>
          <w:b/>
          <w:bCs/>
          <w:color w:val="1F3864"/>
          <w:sz w:val="32"/>
          <w:szCs w:val="32"/>
        </w:rPr>
        <w:t xml:space="preserve">6. Existing System &amp; its Limitation</w:t>
      </w:r>
    </w:p>
    <w:p>
      <w:pPr>
        <w:spacing w:after="120" w:before="120"/>
        <w:jc w:val="center"/>
      </w:pPr>
      <w:r>
        <w:rPr>
          <w:rFonts w:ascii="Calibri" w:cs="Calibri" w:eastAsia="Calibri" w:hAnsi="Calibri"/>
          <w:i/>
          <w:iCs/>
          <w:color w:val="404040"/>
          <w:sz w:val="21"/>
          <w:szCs w:val="21"/>
        </w:rPr>
        <w:t xml:space="preserve">Every approach tried to work around the problem. None touched where the problem lives.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shd w:fill="2E75B6"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System</w:t>
            </w:r>
          </w:p>
        </w:tc>
        <w:tc>
          <w:tcPr>
            <w:shd w:fill="2E75B6"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What it does</w:t>
            </w:r>
          </w:p>
        </w:tc>
        <w:tc>
          <w:tcPr>
            <w:shd w:fill="2E75B6"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Core Limitation</w:t>
            </w:r>
          </w:p>
        </w:tc>
      </w:tr>
      <w:tr>
        <w:tc>
          <w:tcPr>
            <w:shd w:fill="F2F2F2" w:val="clea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BGE-M3 (570M)</w:t>
            </w:r>
          </w:p>
        </w:tc>
        <w:tc>
          <w:tcPr>
            <w:shd w:fill="F2F2F2" w:val="clea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State-of-art dense retrieval, multi-lingual</w:t>
            </w:r>
          </w:p>
        </w:tc>
        <w:tc>
          <w:tcPr>
            <w:shd w:fill="F2F2F2" w:val="clea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RoPE-based, 1D position only. nDCG@10: 0.467. Cosine sim ≈ 0.97 on structurally-opposed chunks. No structural signal.</w:t>
            </w:r>
          </w:p>
        </w:tc>
      </w:tr>
      <w:tr>
        <w:tc>
          <w:tcP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Nomic Embed v2 (137M)</w:t>
            </w:r>
          </w:p>
        </w:tc>
        <w:tc>
          <w:tcP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Open-source dense retrieval</w:t>
            </w:r>
          </w:p>
        </w:tc>
        <w:tc>
          <w:tcP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Same RoPE architecture. Structurally-opposed chunks produce near-identical embeddings.</w:t>
            </w:r>
          </w:p>
        </w:tc>
      </w:tr>
      <w:tr>
        <w:tc>
          <w:tcPr>
            <w:shd w:fill="F2F2F2" w:val="clea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Qwen3-Embedding-0.6B</w:t>
            </w:r>
          </w:p>
        </w:tc>
        <w:tc>
          <w:tcPr>
            <w:shd w:fill="F2F2F2" w:val="clea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Alibaba's retrieval model</w:t>
            </w:r>
          </w:p>
        </w:tc>
        <w:tc>
          <w:tcPr>
            <w:shd w:fill="F2F2F2" w:val="clea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Linear sequence distance only. Structural info: architecturally invisible.</w:t>
            </w:r>
          </w:p>
        </w:tc>
      </w:tr>
      <w:tr>
        <w:tc>
          <w:tcP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E5-Mistral-7B</w:t>
            </w:r>
          </w:p>
        </w:tc>
        <w:tc>
          <w:tcP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Microsoft large-scale embedder</w:t>
            </w:r>
          </w:p>
        </w:tc>
        <w:tc>
          <w:tcP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Scaled parameters over broken inductive bias — more confident wrong answer, not correct.</w:t>
            </w:r>
          </w:p>
        </w:tc>
      </w:tr>
      <w:tr>
        <w:tc>
          <w:tcPr>
            <w:shd w:fill="F2F2F2" w:val="clea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TUTA (Microsoft, 2021)</w:t>
            </w:r>
          </w:p>
        </w:tc>
        <w:tc>
          <w:tcPr>
            <w:shd w:fill="F2F2F2" w:val="clea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Tree coordinates for table cells</w:t>
            </w:r>
          </w:p>
        </w:tc>
        <w:tc>
          <w:tcPr>
            <w:shd w:fill="F2F2F2" w:val="clea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Classification tasks only — never trained for dense retrieval or RAG.</w:t>
            </w:r>
          </w:p>
        </w:tc>
      </w:tr>
      <w:tr>
        <w:tc>
          <w:tcP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DOM-LM (2022)</w:t>
            </w:r>
          </w:p>
        </w:tc>
        <w:tc>
          <w:tcP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Depth + parent + sibling PE in BERT for HTML</w:t>
            </w:r>
          </w:p>
        </w:tc>
        <w:tc>
          <w:tcP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HTML-only, additive not rotational, no contrastive retrieval training.</w:t>
            </w:r>
          </w:p>
        </w:tc>
      </w:tr>
      <w:tr>
        <w:tc>
          <w:tcPr>
            <w:shd w:fill="F2F2F2" w:val="clea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Struc-EMB (Georgia Tech, 2025)</w:t>
            </w:r>
          </w:p>
        </w:tc>
        <w:tc>
          <w:tcPr>
            <w:shd w:fill="F2F2F2" w:val="clea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Structural context via prompt concatenation</w:t>
            </w:r>
          </w:p>
        </w:tc>
        <w:tc>
          <w:tcPr>
            <w:shd w:fill="F2F2F2" w:val="clea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Prompt-level workaround — positional encoding layer completely untouched.</w:t>
            </w:r>
          </w:p>
        </w:tc>
      </w:tr>
      <w:tr>
        <w:tc>
          <w:tcP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RethinkRoPE (2025)</w:t>
            </w:r>
          </w:p>
        </w:tc>
        <w:tc>
          <w:tcP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N-dimensional RoPE blueprint (Lie groups)</w:t>
            </w:r>
          </w:p>
        </w:tc>
        <w:tc>
          <w:tcP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Vision and spatial domains only — never applied to document hierarchy or retrieval.</w:t>
            </w:r>
          </w:p>
        </w:tc>
      </w:tr>
    </w:tbl>
    <w:p>
      <w:pPr>
        <w:spacing w:after="160"/>
      </w:pPr>
    </w:p>
    <w:p>
      <w:pPr>
        <w:spacing w:after="80" w:before="80"/>
      </w:pPr>
      <w:r>
        <w:rPr>
          <w:rFonts w:ascii="Calibri" w:cs="Calibri" w:eastAsia="Calibri" w:hAnsi="Calibri"/>
          <w:b/>
          <w:bCs/>
          <w:color w:val="000000"/>
          <w:sz w:val="21"/>
          <w:szCs w:val="21"/>
        </w:rPr>
        <w:t xml:space="preserve">Quantified failure: </w:t>
      </w:r>
      <w:r>
        <w:rPr>
          <w:rFonts w:ascii="Calibri" w:cs="Calibri" w:eastAsia="Calibri" w:hAnsi="Calibri"/>
          <w:color w:val="000000"/>
          <w:sz w:val="21"/>
          <w:szCs w:val="21"/>
        </w:rPr>
        <w:t xml:space="preserve">Same sentence. Two structural contexts. BGE-M3 cosine similarity ≈ 0.97. RAG query: "What are the Q3 risks?" → retrieves the performance chunk with equal confidence. LLM generates a confidently wrong answer.</w:t>
      </w:r>
    </w:p>
    <w:p>
      <w:pPr>
        <w:spacing w:after="120" w:before="120"/>
        <w:jc w:val="center"/>
      </w:pPr>
      <w:r>
        <w:rPr>
          <w:rFonts w:ascii="Calibri" w:cs="Calibri" w:eastAsia="Calibri" w:hAnsi="Calibri"/>
          <w:i/>
          <w:iCs/>
          <w:color w:val="404040"/>
          <w:sz w:val="21"/>
          <w:szCs w:val="21"/>
        </w:rPr>
        <w:t xml:space="preserve">Every existing system encodes where a token appears in a sequence. None encodes where a token lives in its data structure. Scaling data and parameters over a broken inductive bias produces a more confident wrong answer — not a correct one.</w:t>
      </w:r>
    </w:p>
    <w:p>
      <w:r>
        <w:br w:type="page"/>
      </w:r>
    </w:p>
    <w:p>
      <w:pPr>
        <w:pStyle w:val="Heading1"/>
        <w:pBdr>
          <w:bottom w:val="single" w:color="2E75B6" w:sz="8"/>
        </w:pBdr>
        <w:spacing w:after="120" w:before="360"/>
      </w:pPr>
      <w:r>
        <w:rPr>
          <w:rFonts w:ascii="Calibri" w:cs="Calibri" w:eastAsia="Calibri" w:hAnsi="Calibri"/>
          <w:b/>
          <w:bCs/>
          <w:color w:val="1F3864"/>
          <w:sz w:val="32"/>
          <w:szCs w:val="32"/>
        </w:rPr>
        <w:t xml:space="preserve">7. Research Gap</w:t>
      </w:r>
    </w:p>
    <w:p>
      <w:pPr>
        <w:spacing w:after="200" w:before="120"/>
        <w:jc w:val="center"/>
      </w:pPr>
      <w:r>
        <w:rPr>
          <w:rFonts w:ascii="Calibri" w:cs="Calibri" w:eastAsia="Calibri" w:hAnsi="Calibri"/>
          <w:b/>
          <w:bCs/>
          <w:color w:val="1F3864"/>
          <w:sz w:val="24"/>
          <w:szCs w:val="24"/>
        </w:rPr>
        <w:t xml:space="preserve">No system has ever encoded where data lives in its own structure — only where it appears in a sequence.</w:t>
      </w:r>
    </w:p>
    <w:p>
      <w:pPr>
        <w:pStyle w:val="ListParagraph"/>
        <w:numPr>
          <w:ilvl w:val="0"/>
          <w:numId w:val="1"/>
        </w:numPr>
        <w:spacing w:after="60" w:before="60"/>
      </w:pPr>
      <w:r>
        <w:rPr>
          <w:rFonts w:ascii="Calibri" w:cs="Calibri" w:eastAsia="Calibri" w:hAnsi="Calibri"/>
          <w:color w:val="000000"/>
          <w:sz w:val="21"/>
          <w:szCs w:val="21"/>
        </w:rPr>
        <w:t xml:space="preserve">Every production model — BGE-M3, Qwen3, E5-Mistral, Nomic — encodes position as a single integer via RoPE. Tabular coordinates, JSON key-paths, HTML node depth, Markdown heading hierarchy — all collapsed to m = 47. One number. Every structural dimension discarded.</w:t>
      </w:r>
    </w:p>
    <w:p>
      <w:pPr>
        <w:pStyle w:val="ListParagraph"/>
        <w:numPr>
          <w:ilvl w:val="0"/>
          <w:numId w:val="1"/>
        </w:numPr>
        <w:spacing w:after="60" w:before="60"/>
      </w:pPr>
      <w:r>
        <w:rPr>
          <w:rFonts w:ascii="Calibri" w:cs="Calibri" w:eastAsia="Calibri" w:hAnsi="Calibri"/>
          <w:color w:val="000000"/>
          <w:sz w:val="21"/>
          <w:szCs w:val="21"/>
        </w:rPr>
        <w:t xml:space="preserve">No existing work produces a composite structural address across data formats. TUTA solved tables. DOM-LM solved HTML. Struc-EMB used prompt concatenation. None combined (m, d, p, s) into a unified rotational signal embedded into the attention mechanism itself — format-agnostic, architecture-level.</w:t>
      </w:r>
    </w:p>
    <w:p>
      <w:pPr>
        <w:pStyle w:val="ListParagraph"/>
        <w:numPr>
          <w:ilvl w:val="0"/>
          <w:numId w:val="1"/>
        </w:numPr>
        <w:spacing w:after="60" w:before="60"/>
      </w:pPr>
      <w:r>
        <w:rPr>
          <w:rFonts w:ascii="Calibri" w:cs="Calibri" w:eastAsia="Calibri" w:hAnsi="Calibri"/>
          <w:color w:val="000000"/>
          <w:sz w:val="21"/>
          <w:szCs w:val="21"/>
        </w:rPr>
        <w:t xml:space="preserve">RoPE operates on a 1-dimensional rotational manifold — one circular direction in attention space. No system extends this to a multi-dimensional rotational geometry where depth, parent identity, and sibling index each contribute independent learned frequencies, making structural proximity a geometric property — not just a training outcome.</w:t>
      </w:r>
    </w:p>
    <w:p>
      <w:pPr>
        <w:pStyle w:val="ListParagraph"/>
        <w:numPr>
          <w:ilvl w:val="0"/>
          <w:numId w:val="1"/>
        </w:numPr>
        <w:spacing w:after="60" w:before="60"/>
      </w:pPr>
      <w:r>
        <w:rPr>
          <w:rFonts w:ascii="Calibri" w:cs="Calibri" w:eastAsia="Calibri" w:hAnsi="Calibri"/>
          <w:color w:val="000000"/>
          <w:sz w:val="21"/>
          <w:szCs w:val="21"/>
        </w:rPr>
        <w:t xml:space="preserve">No system applies POMDP to structural address inference. Full document parse at token level is computationally intractable at scale. A Partially Observable Markov Decision Process over structural state gives high-probability composite address estimation — processing just enough structure to achieve true-negative precision without exhaustive tree computation.</w:t>
      </w:r>
    </w:p>
    <w:p>
      <w:pPr>
        <w:spacing w:after="120"/>
      </w:pPr>
    </w:p>
    <w:p>
      <w:pPr>
        <w:spacing w:after="120" w:before="120"/>
        <w:jc w:val="center"/>
      </w:pPr>
      <w:r>
        <w:rPr>
          <w:rFonts w:ascii="Calibri" w:cs="Calibri" w:eastAsia="Calibri" w:hAnsi="Calibri"/>
          <w:i/>
          <w:iCs/>
          <w:color w:val="404040"/>
          <w:sz w:val="21"/>
          <w:szCs w:val="21"/>
        </w:rPr>
        <w:t xml:space="preserve">Structural understanding, data encoding, and dense retrieval each advanced independently. No work unified them — no system embeds a composite structural address across all data formats into the rotational geometry of attention itself, with probabilistic structural inference via POMDP. That system has never been built.</w:t>
      </w:r>
    </w:p>
    <w:p>
      <w:r>
        <w:br w:type="page"/>
      </w:r>
    </w:p>
    <w:p>
      <w:pPr>
        <w:pStyle w:val="Heading1"/>
        <w:pBdr>
          <w:bottom w:val="single" w:color="2E75B6" w:sz="8"/>
        </w:pBdr>
        <w:spacing w:after="120" w:before="360"/>
      </w:pPr>
      <w:r>
        <w:rPr>
          <w:rFonts w:ascii="Calibri" w:cs="Calibri" w:eastAsia="Calibri" w:hAnsi="Calibri"/>
          <w:b/>
          <w:bCs/>
          <w:color w:val="1F3864"/>
          <w:sz w:val="32"/>
          <w:szCs w:val="32"/>
        </w:rPr>
        <w:t xml:space="preserve">8. Proposed System</w:t>
      </w:r>
    </w:p>
    <w:p>
      <w:pPr>
        <w:pStyle w:val="Heading2"/>
        <w:spacing w:after="80" w:before="280"/>
      </w:pPr>
      <w:r>
        <w:rPr>
          <w:rFonts w:ascii="Calibri" w:cs="Calibri" w:eastAsia="Calibri" w:hAnsi="Calibri"/>
          <w:b/>
          <w:bCs/>
          <w:color w:val="2E75B6"/>
          <w:sz w:val="26"/>
          <w:szCs w:val="26"/>
        </w:rPr>
        <w:t xml:space="preserve">HiSA — Hierarchical Structural Addressing · From Single Integer to Composite Structural Address</w:t>
      </w:r>
    </w:p>
    <w:p>
      <w:pPr>
        <w:pStyle w:val="ListParagraph"/>
        <w:numPr>
          <w:ilvl w:val="0"/>
          <w:numId w:val="1"/>
        </w:numPr>
        <w:spacing w:after="60" w:before="60"/>
      </w:pPr>
      <w:r>
        <w:rPr>
          <w:rFonts w:ascii="Calibri" w:cs="Calibri" w:eastAsia="Calibri" w:hAnsi="Calibri"/>
          <w:color w:val="000000"/>
          <w:sz w:val="21"/>
          <w:szCs w:val="21"/>
        </w:rPr>
        <w:t xml:space="preserve">Every data format — tabular, JSON, HTML/XML, Markdown, complex documents — collapses position to a single integer m. HiSA replaces this with a format-agnostic 4D structural address (m, d, p, s): sequence position, tree depth, parent identity, sibling index — same encoding mechanism across all formats, extracted by format-specific parsers.</w:t>
      </w:r>
    </w:p>
    <w:p>
      <w:pPr>
        <w:pStyle w:val="ListParagraph"/>
        <w:numPr>
          <w:ilvl w:val="0"/>
          <w:numId w:val="1"/>
        </w:numPr>
        <w:spacing w:after="60" w:before="60"/>
      </w:pPr>
      <w:r>
        <w:rPr>
          <w:rFonts w:ascii="Calibri" w:cs="Calibri" w:eastAsia="Calibri" w:hAnsi="Calibri"/>
          <w:color w:val="000000"/>
          <w:sz w:val="21"/>
          <w:szCs w:val="21"/>
        </w:rPr>
        <w:t xml:space="preserve">Each dimension gets its own learned rotation frequency. The composite structural address is not concatenated — it is embedded into the rotational geometry of attention itself. Structurally-proximate tokens stay geometrically close regardless of sequence distance. Structurally-opposed tokens are pushed apart by geometry — not just by training signal.</w:t>
      </w:r>
    </w:p>
    <w:p>
      <w:pPr>
        <w:spacing w:after="80" w:before="80"/>
      </w:pPr>
      <w:r>
        <w:rPr>
          <w:rFonts w:ascii="Calibri" w:cs="Calibri" w:eastAsia="Calibri" w:hAnsi="Calibri"/>
          <w:b/>
          <w:bCs/>
          <w:color w:val="000000"/>
          <w:sz w:val="21"/>
          <w:szCs w:val="21"/>
        </w:rPr>
        <w:t xml:space="preserve">Core formula: </w:t>
      </w:r>
      <w:r>
        <w:rPr>
          <w:rFonts w:ascii="Courier New" w:cs="Courier New" w:eastAsia="Courier New" w:hAnsi="Courier New"/>
          <w:color w:val="2E75B6"/>
          <w:sz w:val="21"/>
          <w:szCs w:val="21"/>
        </w:rPr>
        <w:t xml:space="preserve">θ = θ₁ × m</w:t>
      </w:r>
      <w:r>
        <w:rPr>
          <w:rFonts w:ascii="Calibri" w:cs="Calibri" w:eastAsia="Calibri" w:hAnsi="Calibri"/>
          <w:color w:val="000000"/>
          <w:sz w:val="21"/>
          <w:szCs w:val="21"/>
        </w:rPr>
        <w:t xml:space="preserve">  (one rotation, one manifold)  →  </w:t>
      </w:r>
      <w:r>
        <w:rPr>
          <w:rFonts w:ascii="Courier New" w:cs="Courier New" w:eastAsia="Courier New" w:hAnsi="Courier New"/>
          <w:color w:val="2E75B6"/>
          <w:sz w:val="21"/>
          <w:szCs w:val="21"/>
        </w:rPr>
        <w:t xml:space="preserve">θ = θ₁m + θ₂d + θ₃p + θ₄s</w:t>
      </w:r>
      <w:r>
        <w:rPr>
          <w:rFonts w:ascii="Calibri" w:cs="Calibri" w:eastAsia="Calibri" w:hAnsi="Calibri"/>
          <w:color w:val="000000"/>
          <w:sz w:val="21"/>
          <w:szCs w:val="21"/>
        </w:rPr>
        <w:t xml:space="preserve">  (four rotations, 4D manifold). Only 96 new scalar parameters — surgically small change, structurally large effect.</w:t>
      </w:r>
    </w:p>
    <w:p>
      <w:pPr>
        <w:pStyle w:val="ListParagraph"/>
        <w:numPr>
          <w:ilvl w:val="0"/>
          <w:numId w:val="1"/>
        </w:numPr>
        <w:spacing w:after="60" w:before="60"/>
      </w:pPr>
      <w:r>
        <w:rPr>
          <w:rFonts w:ascii="Calibri" w:cs="Calibri" w:eastAsia="Calibri" w:hAnsi="Calibri"/>
          <w:color w:val="000000"/>
          <w:sz w:val="21"/>
          <w:szCs w:val="21"/>
        </w:rPr>
        <w:t xml:space="preserve">POMDP over structural state makes this computationally tractable. Full structural parse of every token at scale is intractable. A Partially Observable Markov Decision Process estimates the composite structural address probabilistically — processing just enough document structure to achieve true-negative level precision without exhaustive tree computation at every token.</w:t>
      </w:r>
    </w:p>
    <w:p>
      <w:pPr>
        <w:pStyle w:val="ListParagraph"/>
        <w:numPr>
          <w:ilvl w:val="0"/>
          <w:numId w:val="1"/>
        </w:numPr>
        <w:spacing w:after="60" w:before="60"/>
      </w:pPr>
      <w:r>
        <w:rPr>
          <w:rFonts w:ascii="Calibri" w:cs="Calibri" w:eastAsia="Calibri" w:hAnsi="Calibri"/>
          <w:color w:val="000000"/>
          <w:sz w:val="21"/>
          <w:szCs w:val="21"/>
        </w:rPr>
        <w:t xml:space="preserve">Degenerate case guarantee — when data has no structure, d=0, p=0, s=0, and HiSA reduces exactly to standard RoPE. Zero regression on plain-text retrieval benchmarks like BEIR and MTEB.</w:t>
      </w:r>
    </w:p>
    <w:p>
      <w:pPr>
        <w:spacing w:after="120" w:before="120"/>
        <w:jc w:val="center"/>
      </w:pPr>
      <w:r>
        <w:rPr>
          <w:rFonts w:ascii="Calibri" w:cs="Calibri" w:eastAsia="Calibri" w:hAnsi="Calibri"/>
          <w:i/>
          <w:iCs/>
          <w:color w:val="404040"/>
          <w:sz w:val="21"/>
          <w:szCs w:val="21"/>
        </w:rPr>
        <w:t xml:space="preserve">Same backbone · same data · same compute · only positional encoding changes — improvement isolates HiSA as the experimental variable across all data formats.</w:t>
      </w:r>
    </w:p>
    <w:p>
      <w:r>
        <w:br w:type="page"/>
      </w:r>
    </w:p>
    <w:p>
      <w:pPr>
        <w:pStyle w:val="Heading1"/>
        <w:pBdr>
          <w:bottom w:val="single" w:color="2E75B6" w:sz="8"/>
        </w:pBdr>
        <w:spacing w:after="120" w:before="360"/>
      </w:pPr>
      <w:r>
        <w:rPr>
          <w:rFonts w:ascii="Calibri" w:cs="Calibri" w:eastAsia="Calibri" w:hAnsi="Calibri"/>
          <w:b/>
          <w:bCs/>
          <w:color w:val="1F3864"/>
          <w:sz w:val="32"/>
          <w:szCs w:val="32"/>
        </w:rPr>
        <w:t xml:space="preserve">9. Methodology</w:t>
      </w:r>
    </w:p>
    <w:p>
      <w:pPr>
        <w:spacing w:after="120" w:before="120"/>
        <w:jc w:val="center"/>
      </w:pPr>
      <w:r>
        <w:rPr>
          <w:rFonts w:ascii="Calibri" w:cs="Calibri" w:eastAsia="Calibri" w:hAnsi="Calibri"/>
          <w:i/>
          <w:iCs/>
          <w:color w:val="404040"/>
          <w:sz w:val="21"/>
          <w:szCs w:val="21"/>
        </w:rPr>
        <w:t xml:space="preserve">Five-phase experimental design — architecture first, benchmark second, proof third.</w:t>
      </w:r>
    </w:p>
    <w:p>
      <w:pPr>
        <w:pStyle w:val="Heading3"/>
        <w:spacing w:after="60" w:before="200"/>
      </w:pPr>
      <w:r>
        <w:rPr>
          <w:rFonts w:ascii="Calibri" w:cs="Calibri" w:eastAsia="Calibri" w:hAnsi="Calibri"/>
          <w:b/>
          <w:bCs/>
          <w:color w:val="000000"/>
          <w:sz w:val="22"/>
          <w:szCs w:val="22"/>
        </w:rPr>
        <w:t xml:space="preserve">Phase 1 — Failure-Mode Survey</w:t>
      </w:r>
    </w:p>
    <w:p>
      <w:pPr>
        <w:spacing w:after="80" w:before="80"/>
      </w:pPr>
      <w:r>
        <w:rPr>
          <w:rFonts w:ascii="Calibri" w:cs="Calibri" w:eastAsia="Calibri" w:hAnsi="Calibri"/>
          <w:color w:val="000000"/>
          <w:sz w:val="21"/>
          <w:szCs w:val="21"/>
        </w:rPr>
        <w:t xml:space="preserve">Quantitatively prove the structural discrimination gap. Run BGE-M3, Qwen3-Embedding, Nomic Embed on structurally-adversarial pairs across tabular, JSON, HTML, Markdown. Establish baseline cosine similarity scores and Retrieval Inversion Rate (RIR). </w:t>
      </w:r>
      <w:r>
        <w:rPr>
          <w:rFonts w:ascii="Calibri" w:cs="Calibri" w:eastAsia="Calibri" w:hAnsi="Calibri"/>
          <w:b/>
          <w:bCs/>
          <w:color w:val="000000"/>
          <w:sz w:val="22"/>
          <w:szCs w:val="22"/>
        </w:rPr>
        <w:t xml:space="preserve">Target: cosine sim ≥ 0.90 on structurally-opposed pairs.</w:t>
      </w:r>
    </w:p>
    <w:p>
      <w:pPr>
        <w:pStyle w:val="Heading3"/>
        <w:spacing w:after="60" w:before="200"/>
      </w:pPr>
      <w:r>
        <w:rPr>
          <w:rFonts w:ascii="Calibri" w:cs="Calibri" w:eastAsia="Calibri" w:hAnsi="Calibri"/>
          <w:b/>
          <w:bCs/>
          <w:color w:val="000000"/>
          <w:sz w:val="22"/>
          <w:szCs w:val="22"/>
        </w:rPr>
        <w:t xml:space="preserve">Phase 2 — HiSA Implementation</w:t>
      </w:r>
    </w:p>
    <w:p>
      <w:pPr>
        <w:spacing w:after="80" w:before="80"/>
      </w:pPr>
      <w:r>
        <w:rPr>
          <w:rFonts w:ascii="Calibri" w:cs="Calibri" w:eastAsia="Calibri" w:hAnsi="Calibri"/>
          <w:color w:val="000000"/>
          <w:sz w:val="21"/>
          <w:szCs w:val="21"/>
        </w:rPr>
        <w:t xml:space="preserve">Replace standard RoPE with 4D structural address in a small SLM backbone. Build format-specific parsers for all data types — Markdown AST, pandas table extractor, JSON recursive key-path, HTML/XML DOM walker — all outputting unified (m, d, p, s) tuples. </w:t>
      </w:r>
      <w:r>
        <w:rPr>
          <w:rFonts w:ascii="Calibri" w:cs="Calibri" w:eastAsia="Calibri" w:hAnsi="Calibri"/>
          <w:b/>
          <w:bCs/>
          <w:color w:val="000000"/>
          <w:sz w:val="22"/>
          <w:szCs w:val="22"/>
        </w:rPr>
        <w:t xml:space="preserve">Unit test: d=0, p=0, s=0 produces identical output to standard RoPE.</w:t>
      </w:r>
    </w:p>
    <w:p>
      <w:pPr>
        <w:pStyle w:val="Heading3"/>
        <w:spacing w:after="60" w:before="200"/>
      </w:pPr>
      <w:r>
        <w:rPr>
          <w:rFonts w:ascii="Calibri" w:cs="Calibri" w:eastAsia="Calibri" w:hAnsi="Calibri"/>
          <w:b/>
          <w:bCs/>
          <w:color w:val="000000"/>
          <w:sz w:val="22"/>
          <w:szCs w:val="22"/>
        </w:rPr>
        <w:t xml:space="preserve">Phase 3 — StructEval-Bench v1 Construction</w:t>
      </w:r>
    </w:p>
    <w:p>
      <w:pPr>
        <w:spacing w:after="80" w:before="80"/>
      </w:pPr>
      <w:r>
        <w:rPr>
          <w:rFonts w:ascii="Calibri" w:cs="Calibri" w:eastAsia="Calibri" w:hAnsi="Calibri"/>
          <w:color w:val="000000"/>
          <w:sz w:val="21"/>
          <w:szCs w:val="21"/>
        </w:rPr>
        <w:t xml:space="preserve">Build 300–500 structurally-adversarial query-document pairs across Markdown, Tables, JSON. Define SDS (Structural Discrimination Score) and RIR metrics. Release on HuggingFace Datasets.</w:t>
      </w:r>
    </w:p>
    <w:p>
      <w:pPr>
        <w:pStyle w:val="Heading3"/>
        <w:spacing w:after="60" w:before="200"/>
      </w:pPr>
      <w:r>
        <w:rPr>
          <w:rFonts w:ascii="Calibri" w:cs="Calibri" w:eastAsia="Calibri" w:hAnsi="Calibri"/>
          <w:b/>
          <w:bCs/>
          <w:color w:val="000000"/>
          <w:sz w:val="22"/>
          <w:szCs w:val="22"/>
        </w:rPr>
        <w:t xml:space="preserve">Phase 4 — Training + Ablation</w:t>
      </w:r>
    </w:p>
    <w:p>
      <w:pPr>
        <w:spacing w:after="80" w:before="80"/>
      </w:pPr>
      <w:r>
        <w:rPr>
          <w:rFonts w:ascii="Calibri" w:cs="Calibri" w:eastAsia="Calibri" w:hAnsi="Calibri"/>
          <w:color w:val="000000"/>
          <w:sz w:val="21"/>
          <w:szCs w:val="21"/>
        </w:rPr>
        <w:t xml:space="preserve">Train HiSE-Embed via contrastive learning (InfoNCE loss) with structurally-adversarial hard negatives. POMDP over structural state for tractable address inference at scale. Controlled ablation: same backbone · same data · same compute · only positional encoding changes.</w:t>
      </w:r>
    </w:p>
    <w:p>
      <w:pPr>
        <w:pStyle w:val="Heading3"/>
        <w:spacing w:after="60" w:before="200"/>
      </w:pPr>
      <w:r>
        <w:rPr>
          <w:rFonts w:ascii="Calibri" w:cs="Calibri" w:eastAsia="Calibri" w:hAnsi="Calibri"/>
          <w:b/>
          <w:bCs/>
          <w:color w:val="000000"/>
          <w:sz w:val="22"/>
          <w:szCs w:val="22"/>
        </w:rPr>
        <w:t xml:space="preserve">Phase 5 — Evaluation + Release</w:t>
      </w:r>
    </w:p>
    <w:p>
      <w:pPr>
        <w:spacing w:after="80" w:before="80"/>
      </w:pPr>
      <w:r>
        <w:rPr>
          <w:rFonts w:ascii="Calibri" w:cs="Calibri" w:eastAsia="Calibri" w:hAnsi="Calibri"/>
          <w:color w:val="000000"/>
          <w:sz w:val="21"/>
          <w:szCs w:val="21"/>
        </w:rPr>
        <w:t xml:space="preserve">Validate on StructEval-Bench v1 (SDS ↑ significant) and BEIR/MTEB (nDCG@10 within ±2% margin). Release HiSE-Embed, StructEval-Bench v1, HiSA implementation under asl-research/hise.</w:t>
      </w:r>
    </w:p>
    <w:p>
      <w:pPr>
        <w:spacing w:after="120" w:before="120"/>
        <w:jc w:val="center"/>
      </w:pPr>
      <w:r>
        <w:rPr>
          <w:rFonts w:ascii="Calibri" w:cs="Calibri" w:eastAsia="Calibri" w:hAnsi="Calibri"/>
          <w:i/>
          <w:iCs/>
          <w:color w:val="404040"/>
          <w:sz w:val="21"/>
          <w:szCs w:val="21"/>
        </w:rPr>
        <w:t xml:space="preserve">Architecture change is the only variable. Every other factor held constant — this is what makes the claim provable.</w:t>
      </w:r>
    </w:p>
    <w:p>
      <w:r>
        <w:br w:type="page"/>
      </w:r>
    </w:p>
    <w:p>
      <w:pPr>
        <w:pStyle w:val="Heading1"/>
        <w:pBdr>
          <w:bottom w:val="single" w:color="2E75B6" w:sz="8"/>
        </w:pBdr>
        <w:spacing w:after="120" w:before="360"/>
      </w:pPr>
      <w:r>
        <w:rPr>
          <w:rFonts w:ascii="Calibri" w:cs="Calibri" w:eastAsia="Calibri" w:hAnsi="Calibri"/>
          <w:b/>
          <w:bCs/>
          <w:color w:val="1F3864"/>
          <w:sz w:val="32"/>
          <w:szCs w:val="32"/>
        </w:rPr>
        <w:t xml:space="preserve">10. Modules &amp; Functionalities</w:t>
      </w:r>
    </w:p>
    <w:p>
      <w:pPr>
        <w:spacing w:after="120" w:before="120"/>
        <w:jc w:val="center"/>
      </w:pPr>
      <w:r>
        <w:rPr>
          <w:rFonts w:ascii="Calibri" w:cs="Calibri" w:eastAsia="Calibri" w:hAnsi="Calibri"/>
          <w:i/>
          <w:iCs/>
          <w:color w:val="404040"/>
          <w:sz w:val="21"/>
          <w:szCs w:val="21"/>
        </w:rPr>
        <w:t xml:space="preserve">Four modules. One pipeline. Structure preserved end to end.</w:t>
      </w:r>
    </w:p>
    <w:p>
      <w:pPr>
        <w:pStyle w:val="Heading3"/>
        <w:spacing w:after="60" w:before="200"/>
      </w:pPr>
      <w:r>
        <w:rPr>
          <w:rFonts w:ascii="Calibri" w:cs="Calibri" w:eastAsia="Calibri" w:hAnsi="Calibri"/>
          <w:b/>
          <w:bCs/>
          <w:color w:val="000000"/>
          <w:sz w:val="22"/>
          <w:szCs w:val="22"/>
        </w:rPr>
        <w:t xml:space="preserve">Module 1 — Structural Parser &amp; Addressing Engine</w:t>
      </w:r>
    </w:p>
    <w:p>
      <w:pPr>
        <w:spacing w:after="80" w:before="80"/>
      </w:pPr>
      <w:r>
        <w:rPr>
          <w:rFonts w:ascii="Calibri" w:cs="Calibri" w:eastAsia="Calibri" w:hAnsi="Calibri"/>
          <w:color w:val="000000"/>
          <w:sz w:val="21"/>
          <w:szCs w:val="21"/>
        </w:rPr>
        <w:t xml:space="preserve">Format-specific parsers extract structural coordinates from all input data types. Markdown AST walker extracts heading depth and path. Pandas extractor pulls row-column coordinates from tables. JSON recursive traverser extracts key-path depth and parent hash. HTML/XML DOM walker extracts node depth and sibling index. All parsers output a unified (m, d, p, s) tuple — same interface regardless of data format.</w:t>
      </w:r>
    </w:p>
    <w:p>
      <w:pPr>
        <w:pStyle w:val="Heading3"/>
        <w:spacing w:after="60" w:before="200"/>
      </w:pPr>
      <w:r>
        <w:rPr>
          <w:rFonts w:ascii="Calibri" w:cs="Calibri" w:eastAsia="Calibri" w:hAnsi="Calibri"/>
          <w:b/>
          <w:bCs/>
          <w:color w:val="000000"/>
          <w:sz w:val="22"/>
          <w:szCs w:val="22"/>
        </w:rPr>
        <w:t xml:space="preserve">Module 2 — HiSA Positional Encoding Layer</w:t>
      </w:r>
    </w:p>
    <w:p>
      <w:pPr>
        <w:spacing w:after="80" w:before="80"/>
      </w:pPr>
      <w:r>
        <w:rPr>
          <w:rFonts w:ascii="Calibri" w:cs="Calibri" w:eastAsia="Calibri" w:hAnsi="Calibri"/>
          <w:color w:val="000000"/>
          <w:sz w:val="21"/>
          <w:szCs w:val="21"/>
        </w:rPr>
        <w:t xml:space="preserve">Replaces standard RoPE in the transformer backbone. Accepts (m, d, p, s) tuple per token. Applies four independent learned rotation frequencies producing composite structural address </w:t>
      </w:r>
      <w:r>
        <w:rPr>
          <w:rFonts w:ascii="Courier New" w:cs="Courier New" w:eastAsia="Courier New" w:hAnsi="Courier New"/>
          <w:color w:val="2E75B6"/>
          <w:sz w:val="20"/>
          <w:szCs w:val="20"/>
        </w:rPr>
        <w:t xml:space="preserve">θ = θ₁m + θ₂d + θ₃p + θ₄s</w:t>
      </w:r>
      <w:r>
        <w:rPr>
          <w:rFonts w:ascii="Calibri" w:cs="Calibri" w:eastAsia="Calibri" w:hAnsi="Calibri"/>
          <w:color w:val="000000"/>
          <w:sz w:val="21"/>
          <w:szCs w:val="21"/>
        </w:rPr>
        <w:t xml:space="preserve">. Embedded directly into Q·K attention computation. 96 new scalar parameters total.</w:t>
      </w:r>
    </w:p>
    <w:p>
      <w:pPr>
        <w:pStyle w:val="Heading3"/>
        <w:spacing w:after="60" w:before="200"/>
      </w:pPr>
      <w:r>
        <w:rPr>
          <w:rFonts w:ascii="Calibri" w:cs="Calibri" w:eastAsia="Calibri" w:hAnsi="Calibri"/>
          <w:b/>
          <w:bCs/>
          <w:color w:val="000000"/>
          <w:sz w:val="22"/>
          <w:szCs w:val="22"/>
        </w:rPr>
        <w:t xml:space="preserve">Module 3 — POMDP Structural State Estimator</w:t>
      </w:r>
    </w:p>
    <w:p>
      <w:pPr>
        <w:spacing w:after="80" w:before="80"/>
      </w:pPr>
      <w:r>
        <w:rPr>
          <w:rFonts w:ascii="Calibri" w:cs="Calibri" w:eastAsia="Calibri" w:hAnsi="Calibri"/>
          <w:color w:val="000000"/>
          <w:sz w:val="21"/>
          <w:szCs w:val="21"/>
        </w:rPr>
        <w:t xml:space="preserve">Estimates composite structural address probabilistically when full document parse is computationally intractable. Maintains a belief state over structural position — depth, parent identity, sibling index — updating with each observed token. Processes just enough structure to achieve true-negative level precision without exhaustive tree computation at scale.</w:t>
      </w:r>
    </w:p>
    <w:p>
      <w:pPr>
        <w:pStyle w:val="Heading3"/>
        <w:spacing w:after="60" w:before="200"/>
      </w:pPr>
      <w:r>
        <w:rPr>
          <w:rFonts w:ascii="Calibri" w:cs="Calibri" w:eastAsia="Calibri" w:hAnsi="Calibri"/>
          <w:b/>
          <w:bCs/>
          <w:color w:val="000000"/>
          <w:sz w:val="22"/>
          <w:szCs w:val="22"/>
        </w:rPr>
        <w:t xml:space="preserve">Module 4 — Contrastive Training &amp; Evaluation Pipeline</w:t>
      </w:r>
    </w:p>
    <w:p>
      <w:pPr>
        <w:spacing w:after="80" w:before="80"/>
      </w:pPr>
      <w:r>
        <w:rPr>
          <w:rFonts w:ascii="Calibri" w:cs="Calibri" w:eastAsia="Calibri" w:hAnsi="Calibri"/>
          <w:color w:val="000000"/>
          <w:sz w:val="21"/>
          <w:szCs w:val="21"/>
        </w:rPr>
        <w:t xml:space="preserve">Trains HiSE-Embed via InfoNCE loss with two negative categories: standard semantic hard negatives and structurally-adversarial hard negatives — identical surface text, structurally-opposed ground truth. Evaluates on StructEval-Bench v1 (SDS, RIR metrics) and BEIR/MTEB (nDCG@10) for general retrieval parity confirmation.</w:t>
      </w:r>
    </w:p>
    <w:p>
      <w:pPr>
        <w:spacing w:after="120" w:before="120"/>
        <w:jc w:val="center"/>
      </w:pPr>
      <w:r>
        <w:rPr>
          <w:rFonts w:ascii="Calibri" w:cs="Calibri" w:eastAsia="Calibri" w:hAnsi="Calibri"/>
          <w:i/>
          <w:iCs/>
          <w:color w:val="404040"/>
          <w:sz w:val="21"/>
          <w:szCs w:val="21"/>
        </w:rPr>
        <w:t xml:space="preserve">Each module is independently testable. Each has a defined input, output, and success criterion.</w:t>
      </w:r>
    </w:p>
    <w:p>
      <w:r>
        <w:br w:type="page"/>
      </w:r>
    </w:p>
    <w:p>
      <w:pPr>
        <w:pStyle w:val="Heading1"/>
        <w:pBdr>
          <w:bottom w:val="single" w:color="2E75B6" w:sz="8"/>
        </w:pBdr>
        <w:spacing w:after="120" w:before="360"/>
      </w:pPr>
      <w:r>
        <w:rPr>
          <w:rFonts w:ascii="Calibri" w:cs="Calibri" w:eastAsia="Calibri" w:hAnsi="Calibri"/>
          <w:b/>
          <w:bCs/>
          <w:color w:val="1F3864"/>
          <w:sz w:val="32"/>
          <w:szCs w:val="32"/>
        </w:rPr>
        <w:t xml:space="preserve">11. Technology &amp; Requirements</w:t>
      </w:r>
    </w:p>
    <w:p>
      <w:pPr>
        <w:pStyle w:val="Heading2"/>
        <w:spacing w:after="80" w:before="280"/>
      </w:pPr>
      <w:r>
        <w:rPr>
          <w:rFonts w:ascii="Calibri" w:cs="Calibri" w:eastAsia="Calibri" w:hAnsi="Calibri"/>
          <w:b/>
          <w:bCs/>
          <w:color w:val="2E75B6"/>
          <w:sz w:val="26"/>
          <w:szCs w:val="26"/>
        </w:rPr>
        <w:t xml:space="preserve">Software Requirements</w:t>
      </w:r>
    </w:p>
    <w:p>
      <w:pPr>
        <w:pStyle w:val="ListParagraph"/>
        <w:numPr>
          <w:ilvl w:val="0"/>
          <w:numId w:val="1"/>
        </w:numPr>
        <w:spacing w:after="60" w:before="60"/>
      </w:pPr>
      <w:r>
        <w:rPr>
          <w:rFonts w:ascii="Calibri" w:cs="Calibri" w:eastAsia="Calibri" w:hAnsi="Calibri"/>
          <w:color w:val="000000"/>
          <w:sz w:val="21"/>
          <w:szCs w:val="21"/>
        </w:rPr>
        <w:t xml:space="preserve">PyTorch 2.x · CUDA 12.8 · HuggingFace Transformers</w:t>
      </w:r>
    </w:p>
    <w:p>
      <w:pPr>
        <w:pStyle w:val="ListParagraph"/>
        <w:numPr>
          <w:ilvl w:val="0"/>
          <w:numId w:val="1"/>
        </w:numPr>
        <w:spacing w:after="60" w:before="60"/>
      </w:pPr>
      <w:r>
        <w:rPr>
          <w:rFonts w:ascii="Calibri" w:cs="Calibri" w:eastAsia="Calibri" w:hAnsi="Calibri"/>
          <w:color w:val="000000"/>
          <w:sz w:val="21"/>
          <w:szCs w:val="21"/>
        </w:rPr>
        <w:t xml:space="preserve">Sentence-Transformers · custom HiSA module replacing RoPE</w:t>
      </w:r>
    </w:p>
    <w:p>
      <w:pPr>
        <w:pStyle w:val="ListParagraph"/>
        <w:numPr>
          <w:ilvl w:val="0"/>
          <w:numId w:val="1"/>
        </w:numPr>
        <w:spacing w:after="60" w:before="60"/>
      </w:pPr>
      <w:r>
        <w:rPr>
          <w:rFonts w:ascii="Calibri" w:cs="Calibri" w:eastAsia="Calibri" w:hAnsi="Calibri"/>
          <w:color w:val="000000"/>
          <w:sz w:val="21"/>
          <w:szCs w:val="21"/>
        </w:rPr>
        <w:t xml:space="preserve">FAISS vector indexing · BEIR · MTEB · StructEval-Bench v1</w:t>
      </w:r>
    </w:p>
    <w:p>
      <w:pPr>
        <w:pStyle w:val="ListParagraph"/>
        <w:numPr>
          <w:ilvl w:val="0"/>
          <w:numId w:val="1"/>
        </w:numPr>
        <w:spacing w:after="60" w:before="60"/>
      </w:pPr>
      <w:r>
        <w:rPr>
          <w:rFonts w:ascii="Calibri" w:cs="Calibri" w:eastAsia="Calibri" w:hAnsi="Calibri"/>
          <w:color w:val="000000"/>
          <w:sz w:val="21"/>
          <w:szCs w:val="21"/>
        </w:rPr>
        <w:t xml:space="preserve">Python-Markdown · pandas · JSON key-path parser · HTML/XML DOM parser</w:t>
      </w:r>
    </w:p>
    <w:p>
      <w:pPr>
        <w:pStyle w:val="ListParagraph"/>
        <w:numPr>
          <w:ilvl w:val="0"/>
          <w:numId w:val="1"/>
        </w:numPr>
        <w:spacing w:after="60" w:before="60"/>
      </w:pPr>
      <w:r>
        <w:rPr>
          <w:rFonts w:ascii="Calibri" w:cs="Calibri" w:eastAsia="Calibri" w:hAnsi="Calibri"/>
          <w:color w:val="000000"/>
          <w:sz w:val="21"/>
          <w:szCs w:val="21"/>
        </w:rPr>
        <w:t xml:space="preserve">Weights &amp; Biases (experiment tracking) · HuggingFace Hub (open-source release)</w:t>
      </w:r>
    </w:p>
    <w:p>
      <w:pPr>
        <w:pStyle w:val="ListParagraph"/>
        <w:numPr>
          <w:ilvl w:val="0"/>
          <w:numId w:val="1"/>
        </w:numPr>
        <w:spacing w:after="60" w:before="60"/>
      </w:pPr>
      <w:r>
        <w:rPr>
          <w:rFonts w:ascii="Calibri" w:cs="Calibri" w:eastAsia="Calibri" w:hAnsi="Calibri"/>
          <w:color w:val="000000"/>
          <w:sz w:val="21"/>
          <w:szCs w:val="21"/>
        </w:rPr>
        <w:t xml:space="preserve">Docker — all development and training containerized on ASL research infrastructure. Reproducible builds guaranteed across environments.</w:t>
      </w:r>
    </w:p>
    <w:p>
      <w:pPr>
        <w:pStyle w:val="Heading2"/>
        <w:spacing w:after="80" w:before="280"/>
      </w:pPr>
      <w:r>
        <w:rPr>
          <w:rFonts w:ascii="Calibri" w:cs="Calibri" w:eastAsia="Calibri" w:hAnsi="Calibri"/>
          <w:b/>
          <w:bCs/>
          <w:color w:val="2E75B6"/>
          <w:sz w:val="26"/>
          <w:szCs w:val="26"/>
        </w:rPr>
        <w:t xml:space="preserve">Hardware Requirements</w:t>
      </w:r>
    </w:p>
    <w:p>
      <w:pPr>
        <w:pStyle w:val="ListParagraph"/>
        <w:numPr>
          <w:ilvl w:val="0"/>
          <w:numId w:val="1"/>
        </w:numPr>
        <w:spacing w:after="60" w:before="60"/>
      </w:pPr>
      <w:r>
        <w:rPr>
          <w:rFonts w:ascii="Calibri" w:cs="Calibri" w:eastAsia="Calibri" w:hAnsi="Calibri"/>
          <w:color w:val="000000"/>
          <w:sz w:val="21"/>
          <w:szCs w:val="21"/>
        </w:rPr>
        <w:t xml:space="preserve">Primary Training: NVIDIA RTX 5070 Ti (Blackwell) · 16GB VRAM · AMD Ryzen 9 7900X · 32GB DDR5 RAM · ASL Glory Server · Ubuntu 24.04 LTS</w:t>
      </w:r>
    </w:p>
    <w:p>
      <w:pPr>
        <w:pStyle w:val="ListParagraph"/>
        <w:numPr>
          <w:ilvl w:val="0"/>
          <w:numId w:val="1"/>
        </w:numPr>
        <w:spacing w:after="60" w:before="60"/>
      </w:pPr>
      <w:r>
        <w:rPr>
          <w:rFonts w:ascii="Calibri" w:cs="Calibri" w:eastAsia="Calibri" w:hAnsi="Calibri"/>
          <w:color w:val="000000"/>
          <w:sz w:val="21"/>
          <w:szCs w:val="21"/>
        </w:rPr>
        <w:t xml:space="preserve">Development: NVIDIA RTX 4070 · 8GB VRAM · Intel i7 13th Gen · 16GB DDR5 RAM · ROG Strix Void</w:t>
      </w:r>
    </w:p>
    <w:p>
      <w:pPr>
        <w:pStyle w:val="ListParagraph"/>
        <w:numPr>
          <w:ilvl w:val="0"/>
          <w:numId w:val="1"/>
        </w:numPr>
        <w:spacing w:after="60" w:before="60"/>
      </w:pPr>
      <w:r>
        <w:rPr>
          <w:rFonts w:ascii="Calibri" w:cs="Calibri" w:eastAsia="Calibri" w:hAnsi="Calibri"/>
          <w:color w:val="000000"/>
          <w:sz w:val="21"/>
          <w:szCs w:val="21"/>
        </w:rPr>
        <w:t xml:space="preserve">Storage: 500GB SSD · checkpoints and embedding index storage</w:t>
      </w:r>
    </w:p>
    <w:p>
      <w:pPr>
        <w:pStyle w:val="ListParagraph"/>
        <w:numPr>
          <w:ilvl w:val="0"/>
          <w:numId w:val="1"/>
        </w:numPr>
        <w:spacing w:after="60" w:before="60"/>
      </w:pPr>
      <w:r>
        <w:rPr>
          <w:rFonts w:ascii="Calibri" w:cs="Calibri" w:eastAsia="Calibri" w:hAnsi="Calibri"/>
          <w:color w:val="000000"/>
          <w:sz w:val="21"/>
          <w:szCs w:val="21"/>
        </w:rPr>
        <w:t xml:space="preserve">No cloud dependency — both systems locally hosted on ASL research infrastructure.</w:t>
      </w:r>
    </w:p>
    <w:p>
      <w:r>
        <w:br w:type="page"/>
      </w:r>
    </w:p>
    <w:p>
      <w:pPr>
        <w:pStyle w:val="Heading1"/>
        <w:pBdr>
          <w:bottom w:val="single" w:color="2E75B6" w:sz="8"/>
        </w:pBdr>
        <w:spacing w:after="120" w:before="360"/>
      </w:pPr>
      <w:r>
        <w:rPr>
          <w:rFonts w:ascii="Calibri" w:cs="Calibri" w:eastAsia="Calibri" w:hAnsi="Calibri"/>
          <w:b/>
          <w:bCs/>
          <w:color w:val="1F3864"/>
          <w:sz w:val="32"/>
          <w:szCs w:val="32"/>
        </w:rPr>
        <w:t xml:space="preserve">12. Expected Outcome</w:t>
      </w:r>
    </w:p>
    <w:p>
      <w:pPr>
        <w:spacing w:after="120" w:before="120"/>
        <w:jc w:val="center"/>
      </w:pPr>
      <w:r>
        <w:rPr>
          <w:rFonts w:ascii="Calibri" w:cs="Calibri" w:eastAsia="Calibri" w:hAnsi="Calibri"/>
          <w:i/>
          <w:iCs/>
          <w:color w:val="404040"/>
          <w:sz w:val="21"/>
          <w:szCs w:val="21"/>
        </w:rPr>
        <w:t xml:space="preserve">Three artifacts. One architectural correction. Fully open-source.</w:t>
      </w:r>
    </w:p>
    <w:p>
      <w:pPr>
        <w:pStyle w:val="Heading3"/>
        <w:spacing w:after="60" w:before="200"/>
      </w:pPr>
      <w:r>
        <w:rPr>
          <w:rFonts w:ascii="Calibri" w:cs="Calibri" w:eastAsia="Calibri" w:hAnsi="Calibri"/>
          <w:b/>
          <w:bCs/>
          <w:color w:val="000000"/>
          <w:sz w:val="22"/>
          <w:szCs w:val="22"/>
        </w:rPr>
        <w:t xml:space="preserve">Outcome 1 — HiSE-Embed (The Model)</w:t>
      </w:r>
    </w:p>
    <w:p>
      <w:pPr>
        <w:spacing w:after="80" w:before="80"/>
      </w:pPr>
      <w:r>
        <w:rPr>
          <w:rFonts w:ascii="Calibri" w:cs="Calibri" w:eastAsia="Calibri" w:hAnsi="Calibri"/>
          <w:color w:val="000000"/>
          <w:sz w:val="21"/>
          <w:szCs w:val="21"/>
        </w:rPr>
        <w:t xml:space="preserve">A contrastive retrieval embedding model under 300M parameters with HiSA replacing standard RoPE. Trained on structurally-adversarial hard negatives across tabular, JSON, HTML/XML, Markdown, and complex document formats. Released open-source on HuggingFace Hub under asl-research/hise-embed (Apache 2.0).</w:t>
      </w:r>
    </w:p>
    <w:p>
      <w:pPr>
        <w:pStyle w:val="Heading3"/>
        <w:spacing w:after="60" w:before="200"/>
      </w:pPr>
      <w:r>
        <w:rPr>
          <w:rFonts w:ascii="Calibri" w:cs="Calibri" w:eastAsia="Calibri" w:hAnsi="Calibri"/>
          <w:b/>
          <w:bCs/>
          <w:color w:val="000000"/>
          <w:sz w:val="22"/>
          <w:szCs w:val="22"/>
        </w:rPr>
        <w:t xml:space="preserve">Outcome 2 — StructEval-Bench v1 (The Benchmark)</w:t>
      </w:r>
    </w:p>
    <w:p>
      <w:pPr>
        <w:spacing w:after="80" w:before="80"/>
      </w:pPr>
      <w:r>
        <w:rPr>
          <w:rFonts w:ascii="Calibri" w:cs="Calibri" w:eastAsia="Calibri" w:hAnsi="Calibri"/>
          <w:color w:val="000000"/>
          <w:sz w:val="21"/>
          <w:szCs w:val="21"/>
        </w:rPr>
        <w:t xml:space="preserve">First retrieval benchmark explicitly designed to measure structural discrimination. 300–500 structurally-adversarial query-document pairs across Markdown heading hierarchies, tabular row-column structures, and nested JSON key-paths. Defines two new metrics — Structural Discrimination Score (SDS) and Retrieval Inversion Rate (RIR). Released on HuggingFace Datasets (CC BY 4.0).</w:t>
      </w:r>
    </w:p>
    <w:p>
      <w:pPr>
        <w:pStyle w:val="Heading3"/>
        <w:spacing w:after="60" w:before="200"/>
      </w:pPr>
      <w:r>
        <w:rPr>
          <w:rFonts w:ascii="Calibri" w:cs="Calibri" w:eastAsia="Calibri" w:hAnsi="Calibri"/>
          <w:b/>
          <w:bCs/>
          <w:color w:val="000000"/>
          <w:sz w:val="22"/>
          <w:szCs w:val="22"/>
        </w:rPr>
        <w:t xml:space="preserve">Outcome 3 —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shd w:fill="2E75B6"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Metric</w:t>
            </w:r>
          </w:p>
        </w:tc>
        <w:tc>
          <w:tcPr>
            <w:shd w:fill="2E75B6"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Target</w:t>
            </w:r>
          </w:p>
        </w:tc>
        <w:tc>
          <w:tcPr>
            <w:shd w:fill="2E75B6"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Meaning</w:t>
            </w:r>
          </w:p>
        </w:tc>
      </w:tr>
      <w:tr>
        <w:tc>
          <w:tcPr>
            <w:shd w:fill="F2F2F2" w:val="clea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SDS on StructEval-Bench v1</w:t>
            </w:r>
          </w:p>
        </w:tc>
        <w:tc>
          <w:tcPr>
            <w:shd w:fill="F2F2F2" w:val="clea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 statistically significant (p &lt; 0.05)</w:t>
            </w:r>
          </w:p>
        </w:tc>
        <w:tc>
          <w:tcPr>
            <w:shd w:fill="F2F2F2" w:val="clea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HiSA structurally discriminates</w:t>
            </w:r>
          </w:p>
        </w:tc>
      </w:tr>
      <w:tr>
        <w:tc>
          <w:tcP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RIR on adversarial pairs</w:t>
            </w:r>
          </w:p>
        </w:tc>
        <w:tc>
          <w:tcP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 measurable vs baseline</w:t>
            </w:r>
          </w:p>
        </w:tc>
        <w:tc>
          <w:tcP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Wrong chunk no longer ranked first</w:t>
            </w:r>
          </w:p>
        </w:tc>
      </w:tr>
      <w:tr>
        <w:tc>
          <w:tcPr>
            <w:shd w:fill="F2F2F2" w:val="clea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nDCG@10 on BEIR/MTEB</w:t>
            </w:r>
          </w:p>
        </w:tc>
        <w:tc>
          <w:tcPr>
            <w:shd w:fill="F2F2F2" w:val="clea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 0.46 within ±2% margin</w:t>
            </w:r>
          </w:p>
        </w:tc>
        <w:tc>
          <w:tcPr>
            <w:shd w:fill="F2F2F2" w:val="clea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No general retrieval regression</w:t>
            </w:r>
          </w:p>
        </w:tc>
      </w:tr>
      <w:tr>
        <w:tc>
          <w:tcP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Parameter count</w:t>
            </w:r>
          </w:p>
        </w:tc>
        <w:tc>
          <w:tcP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 300M</w:t>
            </w:r>
          </w:p>
        </w:tc>
        <w:tc>
          <w:tcP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Computationally accessible</w:t>
            </w:r>
          </w:p>
        </w:tc>
      </w:tr>
    </w:tbl>
    <w:p>
      <w:pPr>
        <w:spacing w:after="120"/>
      </w:pPr>
    </w:p>
    <w:p>
      <w:pPr>
        <w:pStyle w:val="Heading3"/>
        <w:spacing w:after="60" w:before="200"/>
      </w:pPr>
      <w:r>
        <w:rPr>
          <w:rFonts w:ascii="Calibri" w:cs="Calibri" w:eastAsia="Calibri" w:hAnsi="Calibri"/>
          <w:b/>
          <w:bCs/>
          <w:color w:val="000000"/>
          <w:sz w:val="22"/>
          <w:szCs w:val="22"/>
        </w:rPr>
        <w:t xml:space="preserve">Outcome 4 — Publication</w:t>
      </w:r>
    </w:p>
    <w:p>
      <w:pPr>
        <w:spacing w:after="80" w:before="80"/>
      </w:pPr>
      <w:r>
        <w:rPr>
          <w:rFonts w:ascii="Calibri" w:cs="Calibri" w:eastAsia="Calibri" w:hAnsi="Calibri"/>
          <w:color w:val="000000"/>
          <w:sz w:val="21"/>
          <w:szCs w:val="21"/>
        </w:rPr>
        <w:t xml:space="preserve">Research paper submitted to ICNLP 2027 (IEEE Xplore) by November 30, 2026. Simultaneous arXiv preprint. Backup venues: PUNECON 2026 (IEEE Pune Section), MLNLP 2026.</w:t>
      </w:r>
    </w:p>
    <w:p>
      <w:r>
        <w:br w:type="page"/>
      </w:r>
    </w:p>
    <w:p>
      <w:pPr>
        <w:pStyle w:val="Heading1"/>
        <w:pBdr>
          <w:bottom w:val="single" w:color="2E75B6" w:sz="8"/>
        </w:pBdr>
        <w:spacing w:after="120" w:before="360"/>
      </w:pPr>
      <w:r>
        <w:rPr>
          <w:rFonts w:ascii="Calibri" w:cs="Calibri" w:eastAsia="Calibri" w:hAnsi="Calibri"/>
          <w:b/>
          <w:bCs/>
          <w:color w:val="1F3864"/>
          <w:sz w:val="32"/>
          <w:szCs w:val="32"/>
        </w:rPr>
        <w:t xml:space="preserve">13. Project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960"/>
        <w:gridCol w:w="2800"/>
      </w:tblGrid>
      <w:tr>
        <w:tc>
          <w:tcPr>
            <w:shd w:fill="2E75B6"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Phase</w:t>
            </w:r>
          </w:p>
        </w:tc>
        <w:tc>
          <w:tcPr>
            <w:shd w:fill="2E75B6"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Timeline</w:t>
            </w:r>
          </w:p>
        </w:tc>
        <w:tc>
          <w:tcPr>
            <w:shd w:fill="2E75B6"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Work</w:t>
            </w:r>
          </w:p>
        </w:tc>
        <w:tc>
          <w:tcPr>
            <w:shd w:fill="2E75B6"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Success Criterion</w:t>
            </w:r>
          </w:p>
        </w:tc>
      </w:tr>
      <w:tr>
        <w:tc>
          <w:tcPr>
            <w:shd w:fill="F2F2F2" w:val="clea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Phase 1
Failure Survey</w:t>
            </w:r>
          </w:p>
        </w:tc>
        <w:tc>
          <w:tcPr>
            <w:shd w:fill="F2F2F2" w:val="clea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Month 1–2</w:t>
            </w:r>
          </w:p>
        </w:tc>
        <w:tc>
          <w:tcPr>
            <w:shd w:fill="F2F2F2" w:val="clea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Quantify structural discrimination gap on BGE-M3, Qwen3, Nomic across tabular, JSON, HTML, Markdown adversarial pairs</w:t>
            </w:r>
          </w:p>
        </w:tc>
        <w:tc>
          <w:tcPr>
            <w:shd w:fill="F2F2F2" w:val="clea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Cosine sim ≥ 0.90 on structurally-opposed pairs. RIR baseline established</w:t>
            </w:r>
          </w:p>
        </w:tc>
      </w:tr>
      <w:tr>
        <w:tc>
          <w:tcP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Phase 2
HiSA Build</w:t>
            </w:r>
          </w:p>
        </w:tc>
        <w:tc>
          <w:tcP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Month 2–3</w:t>
            </w:r>
          </w:p>
        </w:tc>
        <w:tc>
          <w:tcP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Replace RoPE with 4D structural address. Build all format parsers outputting unified (m, d, p, s). Implement POMDP estimator</w:t>
            </w:r>
          </w:p>
        </w:tc>
        <w:tc>
          <w:tcP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Degenerate case: d=0, p=0, s=0 → identical output to standard RoPE</w:t>
            </w:r>
          </w:p>
        </w:tc>
      </w:tr>
      <w:tr>
        <w:tc>
          <w:tcPr>
            <w:shd w:fill="F2F2F2" w:val="clea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Phase 3
Benchmark</w:t>
            </w:r>
          </w:p>
        </w:tc>
        <w:tc>
          <w:tcPr>
            <w:shd w:fill="F2F2F2" w:val="clea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Month 3–4</w:t>
            </w:r>
          </w:p>
        </w:tc>
        <w:tc>
          <w:tcPr>
            <w:shd w:fill="F2F2F2" w:val="clea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Build StructEval-Bench v1 — 300–500 adversarial pairs. Define SDS and RIR metrics. Release on HuggingFace Datasets</w:t>
            </w:r>
          </w:p>
        </w:tc>
        <w:tc>
          <w:tcPr>
            <w:shd w:fill="F2F2F2" w:val="clea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Benchmark live with annotation guidelines</w:t>
            </w:r>
          </w:p>
        </w:tc>
      </w:tr>
      <w:tr>
        <w:tc>
          <w:tcP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Phase 4
Training</w:t>
            </w:r>
          </w:p>
        </w:tc>
        <w:tc>
          <w:tcP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Month 4–5</w:t>
            </w:r>
          </w:p>
        </w:tc>
        <w:tc>
          <w:tcP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Train HiSE-Embed with structurally-adversarial hard negatives. Run controlled ablation — only positional encoding changes</w:t>
            </w:r>
          </w:p>
        </w:tc>
        <w:tc>
          <w:tcP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SDS improvement statistically significant (p &lt; 0.05) vs RoPE baseline</w:t>
            </w:r>
          </w:p>
        </w:tc>
      </w:tr>
      <w:tr>
        <w:tc>
          <w:tcPr>
            <w:shd w:fill="F2F2F2" w:val="clea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Phase 5
Eval + Release</w:t>
            </w:r>
          </w:p>
        </w:tc>
        <w:tc>
          <w:tcPr>
            <w:shd w:fill="F2F2F2" w:val="clea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Month 6</w:t>
            </w:r>
          </w:p>
        </w:tc>
        <w:tc>
          <w:tcPr>
            <w:shd w:fill="F2F2F2" w:val="clea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Evaluate on BEIR/MTEB. Release HiSE-Embed, StructEval-Bench v1, HiSA code. Submit to ICNLP 2027</w:t>
            </w:r>
          </w:p>
        </w:tc>
        <w:tc>
          <w:tcPr>
            <w:shd w:fill="F2F2F2" w:val="clear"/>
            <w:tcMar>
              <w:top w:type="dxa" w:w="80"/>
              <w:left w:type="dxa" w:w="120"/>
              <w:bottom w:type="dxa" w:w="80"/>
              <w:right w:type="dxa" w:w="120"/>
            </w:tcMar>
          </w:tcPr>
          <w:p>
            <w:pPr>
              <w:spacing w:after="40" w:before="40"/>
            </w:pPr>
            <w:r>
              <w:rPr>
                <w:rFonts w:ascii="Calibri" w:cs="Calibri" w:eastAsia="Calibri" w:hAnsi="Calibri"/>
                <w:color w:val="000000"/>
                <w:sz w:val="19"/>
                <w:szCs w:val="19"/>
              </w:rPr>
              <w:t xml:space="preserve">nDCG@10 within ±2%. Submission by Nov 30, 2026</w:t>
            </w:r>
          </w:p>
        </w:tc>
      </w:tr>
    </w:tbl>
    <w:p>
      <w:pPr>
        <w:spacing w:after="160"/>
      </w:pPr>
    </w:p>
    <w:p>
      <w:pPr>
        <w:pStyle w:val="Heading2"/>
        <w:spacing w:after="80" w:before="280"/>
      </w:pPr>
      <w:r>
        <w:rPr>
          <w:rFonts w:ascii="Calibri" w:cs="Calibri" w:eastAsia="Calibri" w:hAnsi="Calibri"/>
          <w:b/>
          <w:bCs/>
          <w:color w:val="2E75B6"/>
          <w:sz w:val="26"/>
          <w:szCs w:val="26"/>
        </w:rPr>
        <w:t xml:space="preserve">Current Status</w:t>
      </w:r>
    </w:p>
    <w:p>
      <w:pPr>
        <w:pStyle w:val="ListParagraph"/>
        <w:numPr>
          <w:ilvl w:val="0"/>
          <w:numId w:val="1"/>
        </w:numPr>
        <w:spacing w:after="60" w:before="60"/>
      </w:pPr>
      <w:r>
        <w:rPr>
          <w:rFonts w:ascii="Calibri" w:cs="Calibri" w:eastAsia="Calibri" w:hAnsi="Calibri"/>
          <w:color w:val="000000"/>
          <w:sz w:val="21"/>
          <w:szCs w:val="21"/>
        </w:rPr>
        <w:t xml:space="preserve">✅  Failure-mode survey designed. Baseline models identified.</w:t>
      </w:r>
    </w:p>
    <w:p>
      <w:pPr>
        <w:pStyle w:val="ListParagraph"/>
        <w:numPr>
          <w:ilvl w:val="0"/>
          <w:numId w:val="1"/>
        </w:numPr>
        <w:spacing w:after="60" w:before="60"/>
      </w:pPr>
      <w:r>
        <w:rPr>
          <w:rFonts w:ascii="Calibri" w:cs="Calibri" w:eastAsia="Calibri" w:hAnsi="Calibri"/>
          <w:color w:val="000000"/>
          <w:sz w:val="21"/>
          <w:szCs w:val="21"/>
        </w:rPr>
        <w:t xml:space="preserve">✅  HiSA mathematical formulation complete. RoPE implementation working (96 scalar parameters, degenerate case verified).</w:t>
      </w:r>
    </w:p>
    <w:p>
      <w:pPr>
        <w:pStyle w:val="ListParagraph"/>
        <w:numPr>
          <w:ilvl w:val="0"/>
          <w:numId w:val="1"/>
        </w:numPr>
        <w:spacing w:after="60" w:before="60"/>
      </w:pPr>
      <w:r>
        <w:rPr>
          <w:rFonts w:ascii="Calibri" w:cs="Calibri" w:eastAsia="Calibri" w:hAnsi="Calibri"/>
          <w:color w:val="000000"/>
          <w:sz w:val="21"/>
          <w:szCs w:val="21"/>
        </w:rPr>
        <w:t xml:space="preserve">✅  StructEval-Bench v1 schema defined. Parser architecture complete across all formats.</w:t>
      </w:r>
    </w:p>
    <w:p>
      <w:pPr>
        <w:pStyle w:val="ListParagraph"/>
        <w:numPr>
          <w:ilvl w:val="0"/>
          <w:numId w:val="1"/>
        </w:numPr>
        <w:spacing w:after="60" w:before="60"/>
      </w:pPr>
      <w:r>
        <w:rPr>
          <w:rFonts w:ascii="Calibri" w:cs="Calibri" w:eastAsia="Calibri" w:hAnsi="Calibri"/>
          <w:color w:val="000000"/>
          <w:sz w:val="21"/>
          <w:szCs w:val="21"/>
        </w:rPr>
        <w:t xml:space="preserve">🔄  Phase 2 implementation in progress — ASL Glory server configured and containerized.</w:t>
      </w:r>
    </w:p>
    <w:p>
      <w:pPr>
        <w:spacing w:after="120" w:before="120"/>
        <w:jc w:val="center"/>
      </w:pPr>
      <w:r>
        <w:rPr>
          <w:rFonts w:ascii="Calibri" w:cs="Calibri" w:eastAsia="Calibri" w:hAnsi="Calibri"/>
          <w:i/>
          <w:iCs/>
          <w:color w:val="404040"/>
          <w:sz w:val="21"/>
          <w:szCs w:val="21"/>
        </w:rPr>
        <w:t xml:space="preserve">Every phase has a binary success criterion. The project is on schedule.</w:t>
      </w:r>
    </w:p>
    <w:p>
      <w:r>
        <w:br w:type="page"/>
      </w:r>
    </w:p>
    <w:p>
      <w:pPr>
        <w:pStyle w:val="Heading1"/>
        <w:pBdr>
          <w:bottom w:val="single" w:color="2E75B6" w:sz="8"/>
        </w:pBdr>
        <w:spacing w:after="120" w:before="360"/>
      </w:pPr>
      <w:r>
        <w:rPr>
          <w:rFonts w:ascii="Calibri" w:cs="Calibri" w:eastAsia="Calibri" w:hAnsi="Calibri"/>
          <w:b/>
          <w:bCs/>
          <w:color w:val="1F3864"/>
          <w:sz w:val="32"/>
          <w:szCs w:val="32"/>
        </w:rPr>
        <w:t xml:space="preserve">14. Conclusion &amp; Future Scope</w:t>
      </w:r>
    </w:p>
    <w:p>
      <w:pPr>
        <w:pStyle w:val="Heading2"/>
        <w:spacing w:after="80" w:before="280"/>
      </w:pPr>
      <w:r>
        <w:rPr>
          <w:rFonts w:ascii="Calibri" w:cs="Calibri" w:eastAsia="Calibri" w:hAnsi="Calibri"/>
          <w:b/>
          <w:bCs/>
          <w:color w:val="2E75B6"/>
          <w:sz w:val="26"/>
          <w:szCs w:val="26"/>
        </w:rPr>
        <w:t xml:space="preserve">Conclusion</w:t>
      </w:r>
    </w:p>
    <w:p>
      <w:pPr>
        <w:pStyle w:val="ListParagraph"/>
        <w:numPr>
          <w:ilvl w:val="0"/>
          <w:numId w:val="1"/>
        </w:numPr>
        <w:spacing w:after="60" w:before="60"/>
      </w:pPr>
      <w:r>
        <w:rPr>
          <w:rFonts w:ascii="Calibri" w:cs="Calibri" w:eastAsia="Calibri" w:hAnsi="Calibri"/>
          <w:color w:val="000000"/>
          <w:sz w:val="21"/>
          <w:szCs w:val="21"/>
        </w:rPr>
        <w:t xml:space="preserve">HiSA — first positional encoding mechanism extending RoPE to 4D composite structural address across tabular, JSON, HTML/XML, Markdown and complex documents. POMDP makes it computationally tractable at scale.</w:t>
      </w:r>
    </w:p>
    <w:p>
      <w:pPr>
        <w:pStyle w:val="ListParagraph"/>
        <w:numPr>
          <w:ilvl w:val="0"/>
          <w:numId w:val="1"/>
        </w:numPr>
        <w:spacing w:after="60" w:before="60"/>
      </w:pPr>
      <w:r>
        <w:rPr>
          <w:rFonts w:ascii="Calibri" w:cs="Calibri" w:eastAsia="Calibri" w:hAnsi="Calibri"/>
          <w:color w:val="000000"/>
          <w:sz w:val="21"/>
          <w:szCs w:val="21"/>
        </w:rPr>
        <w:t xml:space="preserve">HiSE-Embed — contrastive retrieval model under 300M params, trained with structurally-adversarial hard negatives, format-agnostic, open-source on HuggingFace.</w:t>
      </w:r>
    </w:p>
    <w:p>
      <w:pPr>
        <w:pStyle w:val="ListParagraph"/>
        <w:numPr>
          <w:ilvl w:val="0"/>
          <w:numId w:val="1"/>
        </w:numPr>
        <w:spacing w:after="60" w:before="60"/>
      </w:pPr>
      <w:r>
        <w:rPr>
          <w:rFonts w:ascii="Calibri" w:cs="Calibri" w:eastAsia="Calibri" w:hAnsi="Calibri"/>
          <w:color w:val="000000"/>
          <w:sz w:val="21"/>
          <w:szCs w:val="21"/>
        </w:rPr>
        <w:t xml:space="preserve">StructEval-Bench v1 — first retrieval benchmark with structurally-adversarial pairs. Defines SDS and RIR — two metrics that did not exist before this work.</w:t>
      </w:r>
    </w:p>
    <w:p>
      <w:pPr>
        <w:pStyle w:val="ListParagraph"/>
        <w:numPr>
          <w:ilvl w:val="0"/>
          <w:numId w:val="1"/>
        </w:numPr>
        <w:spacing w:after="60" w:before="60"/>
      </w:pPr>
      <w:r>
        <w:rPr>
          <w:rFonts w:ascii="Calibri" w:cs="Calibri" w:eastAsia="Calibri" w:hAnsi="Calibri"/>
          <w:color w:val="000000"/>
          <w:sz w:val="21"/>
          <w:szCs w:val="21"/>
        </w:rPr>
        <w:t xml:space="preserve">Controlled ablation proving HiSA — not data or scale — drives structural retrieval improvement. Same backbone · same data · same compute · only positional encoding changes.</w:t>
      </w:r>
    </w:p>
    <w:p>
      <w:pPr>
        <w:pStyle w:val="ListParagraph"/>
        <w:numPr>
          <w:ilvl w:val="0"/>
          <w:numId w:val="1"/>
        </w:numPr>
        <w:spacing w:after="60" w:before="60"/>
      </w:pPr>
      <w:r>
        <w:rPr>
          <w:rFonts w:ascii="Calibri" w:cs="Calibri" w:eastAsia="Calibri" w:hAnsi="Calibri"/>
          <w:color w:val="000000"/>
          <w:sz w:val="21"/>
          <w:szCs w:val="21"/>
        </w:rPr>
        <w:t xml:space="preserve">StructRAG — production retrieval pipeline integrating HiSE-Embed into ASL DataSense for real enterprise document queries.</w:t>
      </w:r>
    </w:p>
    <w:p>
      <w:pPr>
        <w:pStyle w:val="Heading2"/>
        <w:spacing w:after="80" w:before="280"/>
      </w:pPr>
      <w:r>
        <w:rPr>
          <w:rFonts w:ascii="Calibri" w:cs="Calibri" w:eastAsia="Calibri" w:hAnsi="Calibri"/>
          <w:b/>
          <w:bCs/>
          <w:color w:val="2E75B6"/>
          <w:sz w:val="26"/>
          <w:szCs w:val="26"/>
        </w:rPr>
        <w:t xml:space="preserve">Future Scope</w:t>
      </w:r>
    </w:p>
    <w:p>
      <w:pPr>
        <w:pStyle w:val="ListParagraph"/>
        <w:numPr>
          <w:ilvl w:val="0"/>
          <w:numId w:val="1"/>
        </w:numPr>
        <w:spacing w:after="60" w:before="60"/>
      </w:pPr>
      <w:r>
        <w:rPr>
          <w:rFonts w:ascii="Calibri" w:cs="Calibri" w:eastAsia="Calibri" w:hAnsi="Calibri"/>
          <w:color w:val="000000"/>
          <w:sz w:val="21"/>
          <w:szCs w:val="21"/>
        </w:rPr>
        <w:t xml:space="preserve">HiSA → Generative LLMs — apply the same multi-dimensional rotational mechanism to generative model context windows. Structurally-aware generation, not just retrieval. The model attends differently to tokens in structurally-opposed sections during generation.</w:t>
      </w:r>
    </w:p>
    <w:p>
      <w:pPr>
        <w:pStyle w:val="ListParagraph"/>
        <w:numPr>
          <w:ilvl w:val="0"/>
          <w:numId w:val="1"/>
        </w:numPr>
        <w:spacing w:after="60" w:before="60"/>
      </w:pPr>
      <w:r>
        <w:rPr>
          <w:rFonts w:ascii="Calibri" w:cs="Calibri" w:eastAsia="Calibri" w:hAnsi="Calibri"/>
          <w:color w:val="000000"/>
          <w:sz w:val="21"/>
          <w:szCs w:val="21"/>
        </w:rPr>
        <w:t xml:space="preserve">Cross-lingual structural retrieval — extend HiSE to Indic languages where document hierarchy is the primary disambiguation signal. Directly relevant to enterprise document search in the Indian market.</w:t>
      </w:r>
    </w:p>
    <w:p>
      <w:pPr>
        <w:pStyle w:val="ListParagraph"/>
        <w:numPr>
          <w:ilvl w:val="0"/>
          <w:numId w:val="1"/>
        </w:numPr>
        <w:spacing w:after="60" w:before="60"/>
      </w:pPr>
      <w:r>
        <w:rPr>
          <w:rFonts w:ascii="Calibri" w:cs="Calibri" w:eastAsia="Calibri" w:hAnsi="Calibri"/>
          <w:color w:val="000000"/>
          <w:sz w:val="21"/>
          <w:szCs w:val="21"/>
        </w:rPr>
        <w:t xml:space="preserve">StructEval-Bench v2 — expand to legal contracts, clinical protocols, financial 10-K filings with real enterprise annotation from domain experts.</w:t>
      </w:r>
    </w:p>
    <w:p>
      <w:pPr>
        <w:spacing w:after="120" w:before="120"/>
        <w:jc w:val="center"/>
      </w:pPr>
      <w:r>
        <w:rPr>
          <w:rFonts w:ascii="Calibri" w:cs="Calibri" w:eastAsia="Calibri" w:hAnsi="Calibri"/>
          <w:i/>
          <w:iCs/>
          <w:color w:val="404040"/>
          <w:sz w:val="21"/>
          <w:szCs w:val="21"/>
        </w:rPr>
        <w:t xml:space="preserve">HiSE does not improve an existing model. It corrects a broken assumption — that position in a sequence is sufficient to represent position in data. Across every format, at every scale, it is not.</w:t>
      </w:r>
    </w:p>
    <w:p>
      <w:r>
        <w:br w:type="page"/>
      </w:r>
    </w:p>
    <w:p>
      <w:pPr>
        <w:pStyle w:val="Heading1"/>
        <w:pBdr>
          <w:bottom w:val="single" w:color="2E75B6" w:sz="8"/>
        </w:pBdr>
        <w:spacing w:after="120" w:before="360"/>
      </w:pPr>
      <w:r>
        <w:rPr>
          <w:rFonts w:ascii="Calibri" w:cs="Calibri" w:eastAsia="Calibri" w:hAnsi="Calibri"/>
          <w:b/>
          <w:bCs/>
          <w:color w:val="1F3864"/>
          <w:sz w:val="32"/>
          <w:szCs w:val="32"/>
        </w:rPr>
        <w:t xml:space="preserve">References</w:t>
      </w:r>
    </w:p>
    <w:p>
      <w:pPr>
        <w:spacing w:after="60" w:before="60"/>
      </w:pPr>
      <w:r>
        <w:rPr>
          <w:rFonts w:ascii="Calibri" w:cs="Calibri" w:eastAsia="Calibri" w:hAnsi="Calibri"/>
          <w:color w:val="000000"/>
          <w:sz w:val="19"/>
          <w:szCs w:val="19"/>
        </w:rPr>
        <w:t xml:space="preserve">[1] Su, J., Ahmed, M., Lu, Y., Pan, S., Bo, W., &amp; Liu, Y. (2024). RoFormer: Enhanced Transformer with Rotary Position Embedding. Neurocomputing, 568, 127063. arXiv:2104.09864</w:t>
      </w:r>
    </w:p>
    <w:p>
      <w:pPr>
        <w:spacing w:after="60" w:before="60"/>
      </w:pPr>
      <w:r>
        <w:rPr>
          <w:rFonts w:ascii="Calibri" w:cs="Calibri" w:eastAsia="Calibri" w:hAnsi="Calibri"/>
          <w:color w:val="000000"/>
          <w:sz w:val="19"/>
          <w:szCs w:val="19"/>
        </w:rPr>
        <w:t xml:space="preserve">[2] Vaswani, A., Shazeer, N., Parmar, N., Uszkoreit, J., Jones, L., Gomez, A. N., Kaiser, Ł., &amp; Polosukhin, I. (2017). Attention Is All You Need. Advances in Neural Information Processing Systems, 30.</w:t>
      </w:r>
    </w:p>
    <w:p>
      <w:pPr>
        <w:spacing w:after="60" w:before="60"/>
      </w:pPr>
      <w:r>
        <w:rPr>
          <w:rFonts w:ascii="Calibri" w:cs="Calibri" w:eastAsia="Calibri" w:hAnsi="Calibri"/>
          <w:color w:val="000000"/>
          <w:sz w:val="19"/>
          <w:szCs w:val="19"/>
        </w:rPr>
        <w:t xml:space="preserve">[3] Wang, Z., Dong, H., Jia, R., Li, J., Fu, Z., Han, S., &amp; Zhang, D. (2021). TUTA: Tree-based Transformers for Generally Structured Table Pre-training. KDD '21, 1780–1790.</w:t>
      </w:r>
    </w:p>
    <w:p>
      <w:pPr>
        <w:spacing w:after="60" w:before="60"/>
      </w:pPr>
      <w:r>
        <w:rPr>
          <w:rFonts w:ascii="Calibri" w:cs="Calibri" w:eastAsia="Calibri" w:hAnsi="Calibri"/>
          <w:color w:val="000000"/>
          <w:sz w:val="19"/>
          <w:szCs w:val="19"/>
        </w:rPr>
        <w:t xml:space="preserve">[4] Deng, X. et al. (2022). DOM-LM: Learning Generalizable Representations for HTML Documents. arXiv:2201.10608</w:t>
      </w:r>
    </w:p>
    <w:p>
      <w:pPr>
        <w:spacing w:after="60" w:before="60"/>
      </w:pPr>
      <w:r>
        <w:rPr>
          <w:rFonts w:ascii="Calibri" w:cs="Calibri" w:eastAsia="Calibri" w:hAnsi="Calibri"/>
          <w:color w:val="000000"/>
          <w:sz w:val="19"/>
          <w:szCs w:val="19"/>
        </w:rPr>
        <w:t xml:space="preserve">[5] Liu, S., Wang, H., Li, M., &amp; Li, P. (2025). Struc-EMB: The Potential of Structure-Aware Encoding in Language Embeddings. arXiv:2510.08774</w:t>
      </w:r>
    </w:p>
    <w:p>
      <w:pPr>
        <w:spacing w:after="60" w:before="60"/>
      </w:pPr>
      <w:r>
        <w:rPr>
          <w:rFonts w:ascii="Calibri" w:cs="Calibri" w:eastAsia="Calibri" w:hAnsi="Calibri"/>
          <w:color w:val="000000"/>
          <w:sz w:val="19"/>
          <w:szCs w:val="19"/>
        </w:rPr>
        <w:t xml:space="preserve">[6] Liu, H., Lin, L., Sun, J., Shangguan, Z., Alvarez, M. A., &amp; Zhou, H. (2025). Rethinking RoPE: A Mathematical Blueprint for N-dimensional Positional Embedding. arXiv:2504.06308</w:t>
      </w:r>
    </w:p>
    <w:p>
      <w:pPr>
        <w:spacing w:after="60" w:before="60"/>
      </w:pPr>
      <w:r>
        <w:rPr>
          <w:rFonts w:ascii="Calibri" w:cs="Calibri" w:eastAsia="Calibri" w:hAnsi="Calibri"/>
          <w:color w:val="000000"/>
          <w:sz w:val="19"/>
          <w:szCs w:val="19"/>
        </w:rPr>
        <w:t xml:space="preserve">[7] Thakur, N., Reimers, N., Rücklé, A., Srivastava, A., &amp; Gurevych, I. (2021). BEIR: A Heterogenous Benchmark for Zero-shot Evaluation of Information Retrieval Models. NeurIPS 2021. arXiv:2104.08663</w:t>
      </w:r>
    </w:p>
    <w:p>
      <w:pPr>
        <w:spacing w:after="60" w:before="60"/>
      </w:pPr>
      <w:r>
        <w:rPr>
          <w:rFonts w:ascii="Calibri" w:cs="Calibri" w:eastAsia="Calibri" w:hAnsi="Calibri"/>
          <w:color w:val="000000"/>
          <w:sz w:val="19"/>
          <w:szCs w:val="19"/>
        </w:rPr>
        <w:t xml:space="preserve">[8] Muennighoff, N., Tazi, N., Magne, L., &amp; Reimers, N. (2023). MTEB: Massive Text Embedding Benchmark. arXiv:2210.07316</w:t>
      </w:r>
    </w:p>
    <w:p>
      <w:pPr>
        <w:spacing w:after="60" w:before="60"/>
      </w:pPr>
      <w:r>
        <w:rPr>
          <w:rFonts w:ascii="Calibri" w:cs="Calibri" w:eastAsia="Calibri" w:hAnsi="Calibri"/>
          <w:color w:val="000000"/>
          <w:sz w:val="19"/>
          <w:szCs w:val="19"/>
        </w:rPr>
        <w:t xml:space="preserve">[9] Wang, Z., Jiang, Z., Nyberg, E., &amp; Neubig, G. (2022). Table Retrieval May Not Necessitate Table-specific Model Design. arXiv:2205.09843</w:t>
      </w:r>
    </w:p>
    <w:p>
      <w:pPr>
        <w:spacing w:after="60" w:before="60"/>
      </w:pPr>
      <w:r>
        <w:rPr>
          <w:rFonts w:ascii="Calibri" w:cs="Calibri" w:eastAsia="Calibri" w:hAnsi="Calibri"/>
          <w:color w:val="000000"/>
          <w:sz w:val="19"/>
          <w:szCs w:val="19"/>
        </w:rPr>
        <w:t xml:space="preserve">[10] Roots Analysis (2025). Retrieval-Augmented Generation (RAG) Market Report. rootsanalysis.com</w:t>
      </w:r>
    </w:p>
    <w:p>
      <w:pPr>
        <w:spacing w:after="60" w:before="60"/>
      </w:pPr>
      <w:r>
        <w:rPr>
          <w:rFonts w:ascii="Calibri" w:cs="Calibri" w:eastAsia="Calibri" w:hAnsi="Calibri"/>
          <w:color w:val="000000"/>
          <w:sz w:val="19"/>
          <w:szCs w:val="19"/>
        </w:rPr>
        <w:t xml:space="preserve">[11] Preprints.org (2025). Enterprise RAG Performance Analysis. arXiv:2512.0359</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pBdr>
      <w:jc w:val="center"/>
    </w:pPr>
    <w:r>
      <w:rPr>
        <w:rFonts w:ascii="Calibri" w:cs="Calibri" w:eastAsia="Calibri" w:hAnsi="Calibri"/>
        <w:color w:val="808080"/>
        <w:sz w:val="16"/>
        <w:szCs w:val="16"/>
      </w:rPr>
      <w:t xml:space="preserve">BE AI &amp; DS SEM VII — Project Review 1 | Group No: 18 | VPPCOE | 2026–27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pBdr>
      <w:spacing w:after="60"/>
    </w:pPr>
    <w:r>
      <w:rPr>
        <w:rFonts w:ascii="Calibri" w:cs="Calibri" w:eastAsia="Calibri" w:hAnsi="Calibri"/>
        <w:b/>
        <w:bCs/>
        <w:color w:val="2E75B6"/>
        <w:sz w:val="18"/>
        <w:szCs w:val="18"/>
      </w:rPr>
      <w:t xml:space="preserve">HiSE — Hierarchical Position Encoding for Structure-Sensitive Semantic Dense Retrieval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HiSE — Hierarchical Position Encoding for Structure-Sensitive Semantic Dense Retrieval</dc:title>
  <dc:creator>Applied Sentience Labs</dc:creator>
  <dc:description>BE AI &amp; DS SEM VII Major Project Review 1</dc:description>
  <cp:lastModifiedBy>Un-named</cp:lastModifiedBy>
  <cp:revision>1</cp:revision>
  <dcterms:created xsi:type="dcterms:W3CDTF">2026-09-03T22:37:44.885Z</dcterms:created>
  <dcterms:modified xsi:type="dcterms:W3CDTF">2026-09-03T22:37:44.886Z</dcterms:modified>
</cp:coreProperties>
</file>

<file path=docProps/custom.xml><?xml version="1.0" encoding="utf-8"?>
<Properties xmlns="http://schemas.openxmlformats.org/officeDocument/2006/custom-properties" xmlns:vt="http://schemas.openxmlformats.org/officeDocument/2006/docPropsVTypes"/>
</file>