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360"/>
        <w:jc w:val="center"/>
      </w:pPr>
      <w:r>
        <w:rPr>
          <w:rFonts w:ascii="Times New Roman" w:cs="Times New Roman" w:eastAsia="Times New Roman" w:hAnsi="Times New Roman"/>
          <w:b/>
          <w:bCs/>
          <w:color w:val="1F4E79"/>
          <w:sz w:val="36"/>
          <w:szCs w:val="36"/>
        </w:rPr>
        <w:t xml:space="preserve">Project Title: Hierarchical Position Encoding for Structure-Sensitive Semantic Dense Retrieval</w:t>
      </w:r>
    </w:p>
    <w:p>
      <w:pPr>
        <w:spacing w:after="100" w:before="0" w:line="360"/>
        <w:jc w:val="center"/>
      </w:pPr>
      <w:r>
        <w:rPr>
          <w:rFonts w:ascii="Times New Roman" w:cs="Times New Roman" w:eastAsia="Times New Roman" w:hAnsi="Times New Roman"/>
          <w:b/>
          <w:bCs/>
          <w:color w:val="1F4E79"/>
          <w:sz w:val="30"/>
          <w:szCs w:val="30"/>
        </w:rPr>
        <w:t xml:space="preserve">HiSE</w:t>
      </w:r>
    </w:p>
    <w:p>
      <w:pPr>
        <w:spacing w:after="100" w:before="0" w:line="360"/>
        <w:jc w:val="center"/>
      </w:pPr>
      <w:r>
        <w:rPr>
          <w:rFonts w:ascii="Times New Roman" w:cs="Times New Roman" w:eastAsia="Times New Roman" w:hAnsi="Times New Roman"/>
          <w:color w:val="000000"/>
          <w:sz w:val="24"/>
          <w:szCs w:val="24"/>
        </w:rPr>
        <w:t xml:space="preserve">Nilesh Sanyasi | VU2F2324013</w:t>
      </w:r>
    </w:p>
    <w:p>
      <w:pPr>
        <w:spacing w:after="100" w:before="0" w:line="360"/>
        <w:jc w:val="center"/>
      </w:pPr>
      <w:r>
        <w:rPr>
          <w:rFonts w:ascii="Times New Roman" w:cs="Times New Roman" w:eastAsia="Times New Roman" w:hAnsi="Times New Roman"/>
          <w:color w:val="000000"/>
          <w:sz w:val="24"/>
          <w:szCs w:val="24"/>
        </w:rPr>
        <w:t xml:space="preserve">Maitreya Channe | VU2F2324015</w:t>
      </w:r>
    </w:p>
    <w:p>
      <w:pPr>
        <w:spacing w:after="100" w:before="0" w:line="360"/>
        <w:jc w:val="center"/>
      </w:pPr>
      <w:r>
        <w:rPr>
          <w:rFonts w:ascii="Times New Roman" w:cs="Times New Roman" w:eastAsia="Times New Roman" w:hAnsi="Times New Roman"/>
          <w:color w:val="000000"/>
          <w:sz w:val="24"/>
          <w:szCs w:val="24"/>
        </w:rPr>
        <w:t xml:space="preserve">Sarthak Gavas | VU2F2324007</w:t>
      </w:r>
    </w:p>
    <w:p>
      <w:pPr>
        <w:spacing w:after="100" w:before="0" w:line="360"/>
        <w:jc w:val="center"/>
      </w:pPr>
      <w:r>
        <w:rPr>
          <w:rFonts w:ascii="Times New Roman" w:cs="Times New Roman" w:eastAsia="Times New Roman" w:hAnsi="Times New Roman"/>
          <w:color w:val="000000"/>
          <w:sz w:val="24"/>
          <w:szCs w:val="24"/>
        </w:rPr>
        <w:t xml:space="preserve">Sairaj Gawde | VU2F2324008</w:t>
      </w:r>
    </w:p>
    <w:p>
      <w:pPr>
        <w:spacing w:after="100" w:before="0" w:line="360"/>
        <w:jc w:val="center"/>
      </w:pPr>
      <w:r>
        <w:rPr>
          <w:rFonts w:ascii="Times New Roman" w:cs="Times New Roman" w:eastAsia="Times New Roman" w:hAnsi="Times New Roman"/>
          <w:color w:val="000000"/>
          <w:sz w:val="24"/>
          <w:szCs w:val="24"/>
        </w:rPr>
        <w:t xml:space="preserve">BE AI &amp; DS SEM VII - Major Project Review 1 | Group No: 18</w:t>
      </w:r>
    </w:p>
    <w:p>
      <w:pPr>
        <w:spacing w:after="100" w:before="0" w:line="360"/>
        <w:jc w:val="center"/>
      </w:pPr>
      <w:r>
        <w:rPr>
          <w:rFonts w:ascii="Times New Roman" w:cs="Times New Roman" w:eastAsia="Times New Roman" w:hAnsi="Times New Roman"/>
          <w:color w:val="000000"/>
          <w:sz w:val="24"/>
          <w:szCs w:val="24"/>
        </w:rPr>
        <w:t xml:space="preserve">Project Guide: Dr. Alam Shaikh</w:t>
      </w:r>
    </w:p>
    <w:p>
      <w:pPr>
        <w:spacing w:after="100" w:before="0" w:line="360"/>
        <w:jc w:val="center"/>
      </w:pPr>
      <w:r>
        <w:rPr>
          <w:rFonts w:ascii="Times New Roman" w:cs="Times New Roman" w:eastAsia="Times New Roman" w:hAnsi="Times New Roman"/>
          <w:color w:val="000000"/>
          <w:sz w:val="24"/>
          <w:szCs w:val="24"/>
        </w:rPr>
        <w:t xml:space="preserve">Vasantdada Patil Pratishthan's College of Engineering and Visual Arts</w:t>
      </w:r>
    </w:p>
    <w:p>
      <w:pPr>
        <w:spacing w:after="100" w:before="0" w:line="360"/>
        <w:jc w:val="center"/>
      </w:pPr>
      <w:r>
        <w:rPr>
          <w:rFonts w:ascii="Times New Roman" w:cs="Times New Roman" w:eastAsia="Times New Roman" w:hAnsi="Times New Roman"/>
          <w:color w:val="000000"/>
          <w:sz w:val="24"/>
          <w:szCs w:val="24"/>
        </w:rPr>
        <w:t xml:space="preserve">Department of Artificial Intelligence &amp; Data Science | Academic Year 2026-27</w:t>
      </w:r>
    </w:p>
    <w:p>
      <w:pPr>
        <w:pStyle w:val="Heading1"/>
        <w:spacing w:after="120" w:before="240" w:line="360"/>
        <w:jc w:val="left"/>
      </w:pPr>
      <w:r>
        <w:rPr>
          <w:rFonts w:ascii="Times New Roman" w:cs="Times New Roman" w:eastAsia="Times New Roman" w:hAnsi="Times New Roman"/>
          <w:b/>
          <w:bCs/>
          <w:color w:val="000000"/>
          <w:sz w:val="28"/>
          <w:szCs w:val="28"/>
        </w:rPr>
        <w:t xml:space="preserve">1. Problem Definition</w:t>
      </w:r>
    </w:p>
    <w:p>
      <w:pPr>
        <w:spacing w:after="120" w:before="0" w:line="360"/>
        <w:jc w:val="both"/>
      </w:pPr>
      <w:r>
        <w:rPr>
          <w:rFonts w:ascii="Times New Roman" w:cs="Times New Roman" w:eastAsia="Times New Roman" w:hAnsi="Times New Roman"/>
          <w:i/>
          <w:iCs/>
          <w:color w:val="000000"/>
          <w:sz w:val="24"/>
          <w:szCs w:val="24"/>
        </w:rPr>
        <w:t xml:space="preserve">When the same sentence means opposite things depending on where it appears in data, can the embedding model tell the difference?</w:t>
      </w:r>
    </w:p>
    <w:p>
      <w:pPr>
        <w:spacing w:after="120" w:before="0" w:line="360"/>
        <w:jc w:val="both"/>
      </w:pPr>
      <w:r>
        <w:rPr>
          <w:rFonts w:ascii="Times New Roman" w:cs="Times New Roman" w:eastAsia="Times New Roman" w:hAnsi="Times New Roman"/>
          <w:color w:val="000000"/>
          <w:sz w:val="24"/>
          <w:szCs w:val="24"/>
        </w:rPr>
        <w:t xml:space="preserve">Production embedding models encode token position as a single integer: sequence position 1, 2, 3 and so on. The dominant mechanism, Rotary Position Embedding (RoPE), produces attention scores based primarily on linear distance between tokens. It does not represent the structural address of a token, such as its heading path, table row-column coordinate, or JSON key-path.</w:t>
      </w:r>
    </w:p>
    <w:p>
      <w:pPr>
        <w:spacing w:after="120" w:before="0" w:line="360"/>
        <w:jc w:val="both"/>
      </w:pPr>
      <w:r>
        <w:rPr>
          <w:rFonts w:ascii="Times New Roman" w:cs="Times New Roman" w:eastAsia="Times New Roman" w:hAnsi="Times New Roman"/>
          <w:color w:val="000000"/>
          <w:sz w:val="24"/>
          <w:szCs w:val="24"/>
        </w:rPr>
        <w:t xml:space="preserve">This creates a systematic retrieval failure. Chunks with similar surface text but structurally opposite meanings can receive nearly identical embedding vectors. A retrieval-augmented generation system may therefore return the wrong context and allow a language model to produce a confident but incorrect answer.</w:t>
      </w:r>
    </w:p>
    <w:p>
      <w:pPr>
        <w:spacing w:after="120" w:before="0" w:line="360"/>
        <w:jc w:val="both"/>
      </w:pPr>
      <w:r>
        <w:rPr>
          <w:rFonts w:ascii="Times New Roman" w:cs="Times New Roman" w:eastAsia="Times New Roman" w:hAnsi="Times New Roman"/>
          <w:color w:val="000000"/>
          <w:sz w:val="24"/>
          <w:szCs w:val="24"/>
        </w:rPr>
        <w:t xml:space="preserve">The research problem is to design and evaluate a structure-sensitive positional encoding mechanism that represents both sequence position and the hierarchical location of information across Markdown, tables, JSON, HTML/XML, and complex documents.</w:t>
      </w:r>
    </w:p>
    <w:p>
      <w:pPr>
        <w:pStyle w:val="Heading1"/>
        <w:spacing w:after="120" w:before="240" w:line="360"/>
        <w:jc w:val="left"/>
      </w:pPr>
      <w:r>
        <w:rPr>
          <w:rFonts w:ascii="Times New Roman" w:cs="Times New Roman" w:eastAsia="Times New Roman" w:hAnsi="Times New Roman"/>
          <w:b/>
          <w:bCs/>
          <w:color w:val="000000"/>
          <w:sz w:val="28"/>
          <w:szCs w:val="28"/>
        </w:rPr>
        <w:t xml:space="preserve">2. Introduction</w:t>
      </w:r>
    </w:p>
    <w:p>
      <w:pPr>
        <w:spacing w:after="80" w:before="160" w:line="360"/>
        <w:jc w:val="left"/>
      </w:pPr>
      <w:r>
        <w:rPr>
          <w:rFonts w:ascii="Times New Roman" w:cs="Times New Roman" w:eastAsia="Times New Roman" w:hAnsi="Times New Roman"/>
          <w:b/>
          <w:bCs/>
          <w:i/>
          <w:iCs/>
          <w:color w:val="000000"/>
          <w:sz w:val="24"/>
          <w:szCs w:val="24"/>
        </w:rPr>
        <w:t xml:space="preserve">2.1 Retrieval-Augmented Generation and the Retrieval Bottleneck</w:t>
      </w:r>
    </w:p>
    <w:p>
      <w:pPr>
        <w:spacing w:after="120" w:before="0" w:line="360"/>
        <w:jc w:val="both"/>
      </w:pPr>
      <w:r>
        <w:rPr>
          <w:rFonts w:ascii="Times New Roman" w:cs="Times New Roman" w:eastAsia="Times New Roman" w:hAnsi="Times New Roman"/>
          <w:color w:val="000000"/>
          <w:sz w:val="24"/>
          <w:szCs w:val="24"/>
        </w:rPr>
        <w:t xml:space="preserve">Retrieval-Augmented Generation (RAG) systems depend on the quality of document embeddings. The production pipeline is: Document -&gt; Chunk -&gt; Embed -&gt; Vector Database -&gt; Query Match -&gt; Language Model. When the embedding stage ignores document hierarchy, retrieval can fail before generation begins. Enterprise data such as filings, legal contracts, Kubernetes configurations, clinical protocols, and technical documentation is highly structured, so the impact increases with structural complexity.</w:t>
      </w:r>
    </w:p>
    <w:p>
      <w:pPr>
        <w:spacing w:after="120" w:before="0" w:line="360"/>
        <w:jc w:val="both"/>
      </w:pPr>
      <w:r>
        <w:rPr>
          <w:rFonts w:ascii="Times New Roman" w:cs="Times New Roman" w:eastAsia="Times New Roman" w:hAnsi="Times New Roman"/>
          <w:color w:val="000000"/>
          <w:sz w:val="24"/>
          <w:szCs w:val="24"/>
        </w:rPr>
        <w:t xml:space="preserve">Existing embedding models such as BGE-M3, Qwen3-Embedding, E5-Mistral, and Nomic Embed preserve sequence order but do not explicitly encode where a token lives in a document structure. This limits their ability to discriminate between structurally opposed passages.</w:t>
      </w:r>
    </w:p>
    <w:p>
      <w:pPr>
        <w:spacing w:after="80" w:before="160" w:line="360"/>
        <w:jc w:val="left"/>
      </w:pPr>
      <w:r>
        <w:rPr>
          <w:rFonts w:ascii="Times New Roman" w:cs="Times New Roman" w:eastAsia="Times New Roman" w:hAnsi="Times New Roman"/>
          <w:b/>
          <w:bCs/>
          <w:i/>
          <w:iCs/>
          <w:color w:val="000000"/>
          <w:sz w:val="24"/>
          <w:szCs w:val="24"/>
        </w:rPr>
        <w:t xml:space="preserve">2.2 HiSE Overview</w:t>
      </w:r>
    </w:p>
    <w:p>
      <w:pPr>
        <w:spacing w:after="120" w:before="0" w:line="360"/>
        <w:jc w:val="both"/>
      </w:pPr>
      <w:r>
        <w:rPr>
          <w:rFonts w:ascii="Times New Roman" w:cs="Times New Roman" w:eastAsia="Times New Roman" w:hAnsi="Times New Roman"/>
          <w:color w:val="000000"/>
          <w:sz w:val="24"/>
          <w:szCs w:val="24"/>
        </w:rPr>
        <w:t xml:space="preserve">HiSE, or Hierarchical Position Encoding for Structure-Sensitive Semantic Dense Retrieval, proposes HiSA (Hierarchical Structural Addressing). HiSA extends RoPE from one-dimensional sequence position to a composite structural address containing sequence position, tree depth, parent section identity, and sibling index.</w:t>
      </w:r>
    </w:p>
    <w:p>
      <w:pPr>
        <w:spacing w:after="120" w:before="0" w:line="360"/>
        <w:jc w:val="both"/>
      </w:pPr>
      <w:r>
        <w:rPr>
          <w:rFonts w:ascii="Times New Roman" w:cs="Times New Roman" w:eastAsia="Times New Roman" w:hAnsi="Times New Roman"/>
          <w:b/>
          <w:bCs/>
          <w:color w:val="000000"/>
          <w:sz w:val="24"/>
          <w:szCs w:val="24"/>
        </w:rPr>
        <w:t xml:space="preserve">Core formulation: </w:t>
      </w:r>
      <w:r>
        <w:rPr>
          <w:rFonts w:ascii="Times New Roman" w:cs="Times New Roman" w:eastAsia="Times New Roman" w:hAnsi="Times New Roman"/>
          <w:color w:val="000000"/>
          <w:sz w:val="24"/>
          <w:szCs w:val="24"/>
        </w:rPr>
        <w:t xml:space="preserve">standard RoPE uses theta = theta1 multiplied by m, while HiSA uses theta = theta1m + theta2d + theta3p + theta4s. Here m is sequence position, d is structural depth, p is parent identity, and s is sibling index.</w:t>
      </w:r>
    </w:p>
    <w:p>
      <w:pPr>
        <w:pStyle w:val="Heading1"/>
        <w:spacing w:after="120" w:before="240" w:line="360"/>
        <w:jc w:val="left"/>
      </w:pPr>
      <w:r>
        <w:rPr>
          <w:rFonts w:ascii="Times New Roman" w:cs="Times New Roman" w:eastAsia="Times New Roman" w:hAnsi="Times New Roman"/>
          <w:b/>
          <w:bCs/>
          <w:color w:val="000000"/>
          <w:sz w:val="28"/>
          <w:szCs w:val="28"/>
        </w:rPr>
        <w:t xml:space="preserve">3. Literature Review</w:t>
      </w:r>
    </w:p>
    <w:p>
      <w:pPr>
        <w:spacing w:after="120" w:before="0" w:line="360"/>
        <w:jc w:val="both"/>
      </w:pPr>
      <w:r>
        <w:rPr>
          <w:rFonts w:ascii="Times New Roman" w:cs="Times New Roman" w:eastAsia="Times New Roman" w:hAnsi="Times New Roman"/>
          <w:color w:val="000000"/>
          <w:sz w:val="24"/>
          <w:szCs w:val="24"/>
        </w:rPr>
        <w:t xml:space="preserve">Research on structure-aware representation has progressed through table encoders, HTML encoders, code structure encoders, and prompt-based approaches. However, these approaches do not provide one architecture-level rotational encoding for hierarchical dense retrieval across multiple data formats.</w:t>
      </w:r>
    </w:p>
    <w:p>
      <w:pPr>
        <w:spacing w:after="100" w:before="0" w:line="360"/>
        <w:jc w:val="center"/>
      </w:pPr>
      <w:r>
        <w:rPr>
          <w:rFonts w:ascii="Times New Roman" w:cs="Times New Roman" w:eastAsia="Times New Roman" w:hAnsi="Times New Roman"/>
          <w:b/>
          <w:bCs/>
          <w:color w:val="000000"/>
          <w:sz w:val="24"/>
          <w:szCs w:val="24"/>
        </w:rPr>
        <w:t xml:space="preserve">Table 1: Literature review of structure-aware representation methods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000"/>
        <w:gridCol w:w="3260"/>
      </w:tblGrid>
      <w:tr>
        <w:tc>
          <w:tcPr>
            <w:tcBorders>
              <w:top w:val="single" w:color="808080" w:sz="4"/>
              <w:left w:val="single" w:color="808080" w:sz="4"/>
              <w:bottom w:val="single" w:color="808080" w:sz="4"/>
              <w:right w:val="single" w:color="808080" w:sz="4"/>
            </w:tcBorders>
            <w:shd w:fill="D9EAF7" w:val="clear"/>
            <w:tcMar>
              <w:top w:type="dxa" w:w="80"/>
              <w:left w:type="dxa" w:w="100"/>
              <w:bottom w:type="dxa" w:w="80"/>
              <w:right w:type="dxa" w:w="100"/>
            </w:tcMar>
          </w:tcPr>
          <w:p>
            <w:pPr>
              <w:spacing w:after="0" w:before="0" w:line="300"/>
              <w:jc w:val="both"/>
            </w:pPr>
            <w:r>
              <w:rPr>
                <w:rFonts w:ascii="Times New Roman" w:cs="Times New Roman" w:eastAsia="Times New Roman" w:hAnsi="Times New Roman"/>
                <w:b/>
                <w:bCs/>
                <w:color w:val="000000"/>
                <w:sz w:val="20"/>
                <w:szCs w:val="20"/>
              </w:rPr>
              <w:t xml:space="preserve">Paper or System</w:t>
            </w:r>
          </w:p>
        </w:tc>
        <w:tc>
          <w:tcPr>
            <w:tcBorders>
              <w:top w:val="single" w:color="808080" w:sz="4"/>
              <w:left w:val="single" w:color="808080" w:sz="4"/>
              <w:bottom w:val="single" w:color="808080" w:sz="4"/>
              <w:right w:val="single" w:color="808080" w:sz="4"/>
            </w:tcBorders>
            <w:shd w:fill="D9EAF7" w:val="clear"/>
            <w:tcMar>
              <w:top w:type="dxa" w:w="80"/>
              <w:left w:type="dxa" w:w="100"/>
              <w:bottom w:type="dxa" w:w="80"/>
              <w:right w:type="dxa" w:w="100"/>
            </w:tcMar>
          </w:tcPr>
          <w:p>
            <w:pPr>
              <w:spacing w:after="0" w:before="0" w:line="300"/>
              <w:jc w:val="both"/>
            </w:pPr>
            <w:r>
              <w:rPr>
                <w:rFonts w:ascii="Times New Roman" w:cs="Times New Roman" w:eastAsia="Times New Roman" w:hAnsi="Times New Roman"/>
                <w:b/>
                <w:bCs/>
                <w:color w:val="000000"/>
                <w:sz w:val="20"/>
                <w:szCs w:val="20"/>
              </w:rPr>
              <w:t xml:space="preserve">Year</w:t>
            </w:r>
          </w:p>
        </w:tc>
        <w:tc>
          <w:tcPr>
            <w:tcBorders>
              <w:top w:val="single" w:color="808080" w:sz="4"/>
              <w:left w:val="single" w:color="808080" w:sz="4"/>
              <w:bottom w:val="single" w:color="808080" w:sz="4"/>
              <w:right w:val="single" w:color="808080" w:sz="4"/>
            </w:tcBorders>
            <w:shd w:fill="D9EAF7" w:val="clear"/>
            <w:tcMar>
              <w:top w:type="dxa" w:w="80"/>
              <w:left w:type="dxa" w:w="100"/>
              <w:bottom w:type="dxa" w:w="80"/>
              <w:right w:type="dxa" w:w="100"/>
            </w:tcMar>
          </w:tcPr>
          <w:p>
            <w:pPr>
              <w:spacing w:after="0" w:before="0" w:line="300"/>
              <w:jc w:val="both"/>
            </w:pPr>
            <w:r>
              <w:rPr>
                <w:rFonts w:ascii="Times New Roman" w:cs="Times New Roman" w:eastAsia="Times New Roman" w:hAnsi="Times New Roman"/>
                <w:b/>
                <w:bCs/>
                <w:color w:val="000000"/>
                <w:sz w:val="20"/>
                <w:szCs w:val="20"/>
              </w:rPr>
              <w:t xml:space="preserve">Contribution</w:t>
            </w:r>
          </w:p>
        </w:tc>
        <w:tc>
          <w:tcPr>
            <w:tcBorders>
              <w:top w:val="single" w:color="808080" w:sz="4"/>
              <w:left w:val="single" w:color="808080" w:sz="4"/>
              <w:bottom w:val="single" w:color="808080" w:sz="4"/>
              <w:right w:val="single" w:color="808080" w:sz="4"/>
            </w:tcBorders>
            <w:shd w:fill="D9EAF7" w:val="clear"/>
            <w:tcMar>
              <w:top w:type="dxa" w:w="80"/>
              <w:left w:type="dxa" w:w="100"/>
              <w:bottom w:type="dxa" w:w="80"/>
              <w:right w:type="dxa" w:w="100"/>
            </w:tcMar>
          </w:tcPr>
          <w:p>
            <w:pPr>
              <w:spacing w:after="0" w:before="0" w:line="300"/>
              <w:jc w:val="both"/>
            </w:pPr>
            <w:r>
              <w:rPr>
                <w:rFonts w:ascii="Times New Roman" w:cs="Times New Roman" w:eastAsia="Times New Roman" w:hAnsi="Times New Roman"/>
                <w:b/>
                <w:bCs/>
                <w:color w:val="000000"/>
                <w:sz w:val="20"/>
                <w:szCs w:val="20"/>
              </w:rPr>
              <w:t xml:space="preserve">Limitation</w:t>
            </w:r>
          </w:p>
        </w:tc>
      </w:tr>
      <w:tr>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Attention Is All You Need</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2017</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Foundational transformer and sinusoidal positional encoding.</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Models sequence position, not hierarchical document structure.</w:t>
            </w:r>
          </w:p>
        </w:tc>
      </w:tr>
      <w:tr>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TUTA</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2021</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Tree-based coordinates for generally structured tables.</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Focused on classification and table pre-training, not dense retrieval.</w:t>
            </w:r>
          </w:p>
        </w:tc>
      </w:tr>
      <w:tr>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BEIR</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2021</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Heterogeneous zero-shot information retrieval benchmark.</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Does not include structurally adversarial test pairs.</w:t>
            </w:r>
          </w:p>
        </w:tc>
      </w:tr>
      <w:tr>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DOM-LM</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2022</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Depth, parent, and sibling information for HTML documents.</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HTML-specific and additive; no unified retrieval architecture.</w:t>
            </w:r>
          </w:p>
        </w:tc>
      </w:tr>
      <w:tr>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MTEB</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2023</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Large benchmark for text embedding models.</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Does not directly expose structural discrimination failure.</w:t>
            </w:r>
          </w:p>
        </w:tc>
      </w:tr>
      <w:tr>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Struc-EMB</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2025</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Structural context through LLM-based embedding prompts.</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Prompt-level workaround; positional encoding remains unchanged.</w:t>
            </w:r>
          </w:p>
        </w:tc>
      </w:tr>
      <w:tr>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Rethinking RoPE</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2025</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Blueprint for N-dimensional rotary position embedding.</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Primarily discussed for vision and spatial domains.</w:t>
            </w:r>
          </w:p>
        </w:tc>
      </w:tr>
    </w:tbl>
    <w:p>
      <w:pPr>
        <w:spacing w:after="80" w:before="160" w:line="360"/>
        <w:jc w:val="left"/>
      </w:pPr>
      <w:r>
        <w:rPr>
          <w:rFonts w:ascii="Times New Roman" w:cs="Times New Roman" w:eastAsia="Times New Roman" w:hAnsi="Times New Roman"/>
          <w:b/>
          <w:bCs/>
          <w:i/>
          <w:iCs/>
          <w:color w:val="000000"/>
          <w:sz w:val="24"/>
          <w:szCs w:val="24"/>
        </w:rPr>
        <w:t xml:space="preserve">3.1 Research Gap in Dense Retrieval</w:t>
      </w:r>
    </w:p>
    <w:p>
      <w:pPr>
        <w:spacing w:after="120" w:before="0" w:line="360"/>
        <w:jc w:val="both"/>
      </w:pPr>
      <w:r>
        <w:rPr>
          <w:rFonts w:ascii="Times New Roman" w:cs="Times New Roman" w:eastAsia="Times New Roman" w:hAnsi="Times New Roman"/>
          <w:color w:val="000000"/>
          <w:sz w:val="24"/>
          <w:szCs w:val="24"/>
        </w:rPr>
        <w:t xml:space="preserve">No existing production embedding model encodes a composite structural address across tabular, JSON, HTML/XML, Markdown, and complex document formats. Existing solutions address individual formats or use prompt concatenation, rather than changing the positional encoding layer of the attention mechanism.</w:t>
      </w:r>
    </w:p>
    <w:p>
      <w:pPr>
        <w:spacing w:after="80" w:before="160" w:line="360"/>
        <w:jc w:val="left"/>
      </w:pPr>
      <w:r>
        <w:rPr>
          <w:rFonts w:ascii="Times New Roman" w:cs="Times New Roman" w:eastAsia="Times New Roman" w:hAnsi="Times New Roman"/>
          <w:b/>
          <w:bCs/>
          <w:i/>
          <w:iCs/>
          <w:color w:val="000000"/>
          <w:sz w:val="24"/>
          <w:szCs w:val="24"/>
        </w:rPr>
        <w:t xml:space="preserve">3.2 Need for a New Benchmark</w:t>
      </w:r>
    </w:p>
    <w:p>
      <w:pPr>
        <w:spacing w:after="120" w:before="0" w:line="360"/>
        <w:jc w:val="both"/>
      </w:pPr>
      <w:r>
        <w:rPr>
          <w:rFonts w:ascii="Times New Roman" w:cs="Times New Roman" w:eastAsia="Times New Roman" w:hAnsi="Times New Roman"/>
          <w:color w:val="000000"/>
          <w:sz w:val="24"/>
          <w:szCs w:val="24"/>
        </w:rPr>
        <w:t xml:space="preserve">BEIR and MTEB evaluate broad retrieval quality but contain zero structurally adversarial pairs designed to test whether identical or similar text is distinguished by its location in a hierarchy. StructEval-Bench v1 is proposed to fill this gap with 300-500 query-document pairs and explicit Structural Discrimination Score (SDS) and Retrieval Inversion Rate (RIR) metrics.</w:t>
      </w:r>
    </w:p>
    <w:p>
      <w:pPr>
        <w:pStyle w:val="Heading1"/>
        <w:spacing w:after="120" w:before="240" w:line="360"/>
        <w:jc w:val="left"/>
      </w:pPr>
      <w:r>
        <w:rPr>
          <w:rFonts w:ascii="Times New Roman" w:cs="Times New Roman" w:eastAsia="Times New Roman" w:hAnsi="Times New Roman"/>
          <w:b/>
          <w:bCs/>
          <w:color w:val="000000"/>
          <w:sz w:val="28"/>
          <w:szCs w:val="28"/>
        </w:rPr>
        <w:t xml:space="preserve">4. Motivation</w:t>
      </w:r>
    </w:p>
    <w:p>
      <w:pPr>
        <w:pStyle w:val="ListParagraph"/>
        <w:numPr>
          <w:ilvl w:val="0"/>
          <w:numId w:val="1"/>
        </w:numPr>
        <w:spacing w:after="80" w:before="0" w:line="360"/>
        <w:jc w:val="both"/>
      </w:pPr>
      <w:r>
        <w:rPr>
          <w:rFonts w:ascii="Times New Roman" w:cs="Times New Roman" w:eastAsia="Times New Roman" w:hAnsi="Times New Roman"/>
          <w:color w:val="000000"/>
          <w:sz w:val="24"/>
          <w:szCs w:val="24"/>
        </w:rPr>
        <w:t xml:space="preserve">Structure carries meaning: headings, table coordinates, JSON key-paths, and HTML node hierarchies provide semantic information beyond the words themselves.</w:t>
      </w:r>
    </w:p>
    <w:p>
      <w:pPr>
        <w:pStyle w:val="ListParagraph"/>
        <w:numPr>
          <w:ilvl w:val="0"/>
          <w:numId w:val="1"/>
        </w:numPr>
        <w:spacing w:after="80" w:before="0" w:line="360"/>
        <w:jc w:val="both"/>
      </w:pPr>
      <w:r>
        <w:rPr>
          <w:rFonts w:ascii="Times New Roman" w:cs="Times New Roman" w:eastAsia="Times New Roman" w:hAnsi="Times New Roman"/>
          <w:color w:val="000000"/>
          <w:sz w:val="24"/>
          <w:szCs w:val="24"/>
        </w:rPr>
        <w:t xml:space="preserve">Current models are structure-blind: modern embedding architectures preserve token order but do not directly encode document hierarchy.</w:t>
      </w:r>
    </w:p>
    <w:p>
      <w:pPr>
        <w:pStyle w:val="ListParagraph"/>
        <w:numPr>
          <w:ilvl w:val="0"/>
          <w:numId w:val="1"/>
        </w:numPr>
        <w:spacing w:after="80" w:before="0" w:line="360"/>
        <w:jc w:val="both"/>
      </w:pPr>
      <w:r>
        <w:rPr>
          <w:rFonts w:ascii="Times New Roman" w:cs="Times New Roman" w:eastAsia="Times New Roman" w:hAnsi="Times New Roman"/>
          <w:color w:val="000000"/>
          <w:sz w:val="24"/>
          <w:szCs w:val="24"/>
        </w:rPr>
        <w:t xml:space="preserve">Retrieval fails before generation: an incorrect embedding propagates structural errors through the entire RAG pipeline.</w:t>
      </w:r>
    </w:p>
    <w:p>
      <w:pPr>
        <w:pStyle w:val="ListParagraph"/>
        <w:numPr>
          <w:ilvl w:val="0"/>
          <w:numId w:val="1"/>
        </w:numPr>
        <w:spacing w:after="80" w:before="0" w:line="360"/>
        <w:jc w:val="both"/>
      </w:pPr>
      <w:r>
        <w:rPr>
          <w:rFonts w:ascii="Times New Roman" w:cs="Times New Roman" w:eastAsia="Times New Roman" w:hAnsi="Times New Roman"/>
          <w:color w:val="000000"/>
          <w:sz w:val="24"/>
          <w:szCs w:val="24"/>
        </w:rPr>
        <w:t xml:space="preserve">Embedding quality determines retrieval quality: improving the positional representation can improve the relevance of retrieved context.</w:t>
      </w:r>
    </w:p>
    <w:p>
      <w:pPr>
        <w:pStyle w:val="ListParagraph"/>
        <w:numPr>
          <w:ilvl w:val="0"/>
          <w:numId w:val="1"/>
        </w:numPr>
        <w:spacing w:after="80" w:before="0" w:line="360"/>
        <w:jc w:val="both"/>
      </w:pPr>
      <w:r>
        <w:rPr>
          <w:rFonts w:ascii="Times New Roman" w:cs="Times New Roman" w:eastAsia="Times New Roman" w:hAnsi="Times New Roman"/>
          <w:color w:val="000000"/>
          <w:sz w:val="24"/>
          <w:szCs w:val="24"/>
        </w:rPr>
        <w:t xml:space="preserve">HiSE addresses the root cause by modeling where information exists in a document, rather than relying only on larger models or more training data.</w:t>
      </w:r>
    </w:p>
    <w:p>
      <w:pPr>
        <w:pStyle w:val="Heading1"/>
        <w:spacing w:after="120" w:before="240" w:line="360"/>
        <w:jc w:val="left"/>
      </w:pPr>
      <w:r>
        <w:rPr>
          <w:rFonts w:ascii="Times New Roman" w:cs="Times New Roman" w:eastAsia="Times New Roman" w:hAnsi="Times New Roman"/>
          <w:b/>
          <w:bCs/>
          <w:color w:val="000000"/>
          <w:sz w:val="28"/>
          <w:szCs w:val="28"/>
        </w:rPr>
        <w:t xml:space="preserve">5. Objectives</w:t>
      </w:r>
    </w:p>
    <w:p>
      <w:pPr>
        <w:pStyle w:val="ListParagraph"/>
        <w:numPr>
          <w:ilvl w:val="0"/>
          <w:numId w:val="1"/>
        </w:numPr>
        <w:spacing w:after="80" w:before="0" w:line="360"/>
        <w:jc w:val="both"/>
      </w:pPr>
      <w:r>
        <w:rPr>
          <w:rFonts w:ascii="Times New Roman" w:cs="Times New Roman" w:eastAsia="Times New Roman" w:hAnsi="Times New Roman"/>
          <w:color w:val="000000"/>
          <w:sz w:val="24"/>
          <w:szCs w:val="24"/>
        </w:rPr>
        <w:t xml:space="preserve">Design HiSA as a format-agnostic extension of RoPE using a composite structural address (m, d, p, s).</w:t>
      </w:r>
    </w:p>
    <w:p>
      <w:pPr>
        <w:pStyle w:val="ListParagraph"/>
        <w:numPr>
          <w:ilvl w:val="0"/>
          <w:numId w:val="1"/>
        </w:numPr>
        <w:spacing w:after="80" w:before="0" w:line="360"/>
        <w:jc w:val="both"/>
      </w:pPr>
      <w:r>
        <w:rPr>
          <w:rFonts w:ascii="Times New Roman" w:cs="Times New Roman" w:eastAsia="Times New Roman" w:hAnsi="Times New Roman"/>
          <w:color w:val="000000"/>
          <w:sz w:val="24"/>
          <w:szCs w:val="24"/>
        </w:rPr>
        <w:t xml:space="preserve">Develop HiSE-Embed, a contrastive retrieval model with fewer than 300 million parameters.</w:t>
      </w:r>
    </w:p>
    <w:p>
      <w:pPr>
        <w:pStyle w:val="ListParagraph"/>
        <w:numPr>
          <w:ilvl w:val="0"/>
          <w:numId w:val="1"/>
        </w:numPr>
        <w:spacing w:after="80" w:before="0" w:line="360"/>
        <w:jc w:val="both"/>
      </w:pPr>
      <w:r>
        <w:rPr>
          <w:rFonts w:ascii="Times New Roman" w:cs="Times New Roman" w:eastAsia="Times New Roman" w:hAnsi="Times New Roman"/>
          <w:color w:val="000000"/>
          <w:sz w:val="24"/>
          <w:szCs w:val="24"/>
        </w:rPr>
        <w:t xml:space="preserve">Construct StructEval-Bench v1 with 300-500 structurally adversarial query-document pairs across Markdown, tables, and JSON.</w:t>
      </w:r>
    </w:p>
    <w:p>
      <w:pPr>
        <w:pStyle w:val="ListParagraph"/>
        <w:numPr>
          <w:ilvl w:val="0"/>
          <w:numId w:val="1"/>
        </w:numPr>
        <w:spacing w:after="80" w:before="0" w:line="360"/>
        <w:jc w:val="both"/>
      </w:pPr>
      <w:r>
        <w:rPr>
          <w:rFonts w:ascii="Times New Roman" w:cs="Times New Roman" w:eastAsia="Times New Roman" w:hAnsi="Times New Roman"/>
          <w:color w:val="000000"/>
          <w:sz w:val="24"/>
          <w:szCs w:val="24"/>
        </w:rPr>
        <w:t xml:space="preserve">Evaluate Structural Discrimination Score and Retrieval Inversion Rate against standard RoPE-based baselines.</w:t>
      </w:r>
    </w:p>
    <w:p>
      <w:pPr>
        <w:pStyle w:val="ListParagraph"/>
        <w:numPr>
          <w:ilvl w:val="0"/>
          <w:numId w:val="1"/>
        </w:numPr>
        <w:spacing w:after="80" w:before="0" w:line="360"/>
        <w:jc w:val="both"/>
      </w:pPr>
      <w:r>
        <w:rPr>
          <w:rFonts w:ascii="Times New Roman" w:cs="Times New Roman" w:eastAsia="Times New Roman" w:hAnsi="Times New Roman"/>
          <w:color w:val="000000"/>
          <w:sz w:val="24"/>
          <w:szCs w:val="24"/>
        </w:rPr>
        <w:t xml:space="preserve">Maintain general retrieval quality on BEIR and MTEB subsets, with nDCG@10 within a two percent margin of the baseline.</w:t>
      </w:r>
    </w:p>
    <w:p>
      <w:pPr>
        <w:pStyle w:val="ListParagraph"/>
        <w:numPr>
          <w:ilvl w:val="0"/>
          <w:numId w:val="1"/>
        </w:numPr>
        <w:spacing w:after="80" w:before="0" w:line="360"/>
        <w:jc w:val="both"/>
      </w:pPr>
      <w:r>
        <w:rPr>
          <w:rFonts w:ascii="Times New Roman" w:cs="Times New Roman" w:eastAsia="Times New Roman" w:hAnsi="Times New Roman"/>
          <w:color w:val="000000"/>
          <w:sz w:val="24"/>
          <w:szCs w:val="24"/>
        </w:rPr>
        <w:t xml:space="preserve">Use controlled ablation to isolate the effect of the positional encoding while keeping backbone, data, and compute constant.</w:t>
      </w:r>
    </w:p>
    <w:p>
      <w:pPr>
        <w:pStyle w:val="ListParagraph"/>
        <w:numPr>
          <w:ilvl w:val="0"/>
          <w:numId w:val="1"/>
        </w:numPr>
        <w:spacing w:after="80" w:before="0" w:line="360"/>
        <w:jc w:val="both"/>
      </w:pPr>
      <w:r>
        <w:rPr>
          <w:rFonts w:ascii="Times New Roman" w:cs="Times New Roman" w:eastAsia="Times New Roman" w:hAnsi="Times New Roman"/>
          <w:color w:val="000000"/>
          <w:sz w:val="24"/>
          <w:szCs w:val="24"/>
        </w:rPr>
        <w:t xml:space="preserve">Release the model, benchmark, and HiSA implementation as reproducible open-source research artifacts.</w:t>
      </w:r>
    </w:p>
    <w:p>
      <w:pPr>
        <w:pStyle w:val="Heading1"/>
        <w:spacing w:after="120" w:before="240" w:line="360"/>
        <w:jc w:val="left"/>
      </w:pPr>
      <w:r>
        <w:rPr>
          <w:rFonts w:ascii="Times New Roman" w:cs="Times New Roman" w:eastAsia="Times New Roman" w:hAnsi="Times New Roman"/>
          <w:b/>
          <w:bCs/>
          <w:color w:val="000000"/>
          <w:sz w:val="28"/>
          <w:szCs w:val="28"/>
        </w:rPr>
        <w:t xml:space="preserve">6. Methodology Used</w:t>
      </w:r>
    </w:p>
    <w:p>
      <w:pPr>
        <w:spacing w:after="120" w:before="0" w:line="360"/>
        <w:jc w:val="both"/>
      </w:pPr>
      <w:r>
        <w:rPr>
          <w:rFonts w:ascii="Times New Roman" w:cs="Times New Roman" w:eastAsia="Times New Roman" w:hAnsi="Times New Roman"/>
          <w:color w:val="000000"/>
          <w:sz w:val="24"/>
          <w:szCs w:val="24"/>
        </w:rPr>
        <w:t xml:space="preserve">The project uses a five-phase experimental methodology. The architecture is changed first, the benchmark is designed specifically for the failure mode, and the final claim is tested through controlled comparison and ablation.</w:t>
      </w:r>
    </w:p>
    <w:p>
      <w:pPr>
        <w:spacing w:after="80" w:before="160" w:line="360"/>
        <w:jc w:val="left"/>
      </w:pPr>
      <w:r>
        <w:rPr>
          <w:rFonts w:ascii="Times New Roman" w:cs="Times New Roman" w:eastAsia="Times New Roman" w:hAnsi="Times New Roman"/>
          <w:b/>
          <w:bCs/>
          <w:i/>
          <w:iCs/>
          <w:color w:val="000000"/>
          <w:sz w:val="24"/>
          <w:szCs w:val="24"/>
        </w:rPr>
        <w:t xml:space="preserve">6.1 Failure-Mode Survey</w:t>
      </w:r>
    </w:p>
    <w:p>
      <w:pPr>
        <w:spacing w:after="120" w:before="0" w:line="360"/>
        <w:jc w:val="both"/>
      </w:pPr>
      <w:r>
        <w:rPr>
          <w:rFonts w:ascii="Times New Roman" w:cs="Times New Roman" w:eastAsia="Times New Roman" w:hAnsi="Times New Roman"/>
          <w:color w:val="000000"/>
          <w:sz w:val="24"/>
          <w:szCs w:val="24"/>
        </w:rPr>
        <w:t xml:space="preserve">BGE-M3, Qwen3-Embedding, and Nomic Embed will be evaluated on structurally adversarial pairs from tabular, JSON, HTML, and Markdown data. Baseline cosine similarity and Retrieval Inversion Rate will be recorded. The initial target is cosine similarity of at least 0.90 for structurally opposed pairs under existing models.</w:t>
      </w:r>
    </w:p>
    <w:p>
      <w:pPr>
        <w:spacing w:after="80" w:before="160" w:line="360"/>
        <w:jc w:val="left"/>
      </w:pPr>
      <w:r>
        <w:rPr>
          <w:rFonts w:ascii="Times New Roman" w:cs="Times New Roman" w:eastAsia="Times New Roman" w:hAnsi="Times New Roman"/>
          <w:b/>
          <w:bCs/>
          <w:i/>
          <w:iCs/>
          <w:color w:val="000000"/>
          <w:sz w:val="24"/>
          <w:szCs w:val="24"/>
        </w:rPr>
        <w:t xml:space="preserve">6.2 HiSA Implementation</w:t>
      </w:r>
    </w:p>
    <w:p>
      <w:pPr>
        <w:spacing w:after="120" w:before="0" w:line="360"/>
        <w:jc w:val="both"/>
      </w:pPr>
      <w:r>
        <w:rPr>
          <w:rFonts w:ascii="Times New Roman" w:cs="Times New Roman" w:eastAsia="Times New Roman" w:hAnsi="Times New Roman"/>
          <w:color w:val="000000"/>
          <w:sz w:val="24"/>
          <w:szCs w:val="24"/>
        </w:rPr>
        <w:t xml:space="preserve">The standard RoPE layer will be replaced with a four-dimensional structural address. Markdown AST, pandas table, JSON recursive, and HTML/XML DOM parsers will produce unified (m, d, p, s) tuples. The degenerate case d=0, p=0, s=0 must produce the same output as standard RoPE.</w:t>
      </w:r>
    </w:p>
    <w:p>
      <w:pPr>
        <w:spacing w:after="80" w:before="160" w:line="360"/>
        <w:jc w:val="left"/>
      </w:pPr>
      <w:r>
        <w:rPr>
          <w:rFonts w:ascii="Times New Roman" w:cs="Times New Roman" w:eastAsia="Times New Roman" w:hAnsi="Times New Roman"/>
          <w:b/>
          <w:bCs/>
          <w:i/>
          <w:iCs/>
          <w:color w:val="000000"/>
          <w:sz w:val="24"/>
          <w:szCs w:val="24"/>
        </w:rPr>
        <w:t xml:space="preserve">6.3 StructEval-Bench v1 Construction</w:t>
      </w:r>
    </w:p>
    <w:p>
      <w:pPr>
        <w:spacing w:after="120" w:before="0" w:line="360"/>
        <w:jc w:val="both"/>
      </w:pPr>
      <w:r>
        <w:rPr>
          <w:rFonts w:ascii="Times New Roman" w:cs="Times New Roman" w:eastAsia="Times New Roman" w:hAnsi="Times New Roman"/>
          <w:color w:val="000000"/>
          <w:sz w:val="24"/>
          <w:szCs w:val="24"/>
        </w:rPr>
        <w:t xml:space="preserve">A benchmark of 300-500 structurally adversarial query-document pairs will be created. The pairs will cover Markdown heading hierarchy, table row-column structure, and nested JSON key-paths. Annotation guidelines and the SDS and RIR metrics will be published with the benchmark.</w:t>
      </w:r>
    </w:p>
    <w:p>
      <w:pPr>
        <w:spacing w:after="80" w:before="160" w:line="360"/>
        <w:jc w:val="left"/>
      </w:pPr>
      <w:r>
        <w:rPr>
          <w:rFonts w:ascii="Times New Roman" w:cs="Times New Roman" w:eastAsia="Times New Roman" w:hAnsi="Times New Roman"/>
          <w:b/>
          <w:bCs/>
          <w:i/>
          <w:iCs/>
          <w:color w:val="000000"/>
          <w:sz w:val="24"/>
          <w:szCs w:val="24"/>
        </w:rPr>
        <w:t xml:space="preserve">6.4 Contrastive Training and Ablation</w:t>
      </w:r>
    </w:p>
    <w:p>
      <w:pPr>
        <w:spacing w:after="120" w:before="0" w:line="360"/>
        <w:jc w:val="both"/>
      </w:pPr>
      <w:r>
        <w:rPr>
          <w:rFonts w:ascii="Times New Roman" w:cs="Times New Roman" w:eastAsia="Times New Roman" w:hAnsi="Times New Roman"/>
          <w:color w:val="000000"/>
          <w:sz w:val="24"/>
          <w:szCs w:val="24"/>
        </w:rPr>
        <w:t xml:space="preserve">HiSE-Embed will be trained with InfoNCE contrastive loss using both semantic hard negatives and structurally adversarial hard negatives. A controlled ablation will compare the HiSA model with an otherwise identical standard RoPE model.</w:t>
      </w:r>
    </w:p>
    <w:p>
      <w:pPr>
        <w:spacing w:after="80" w:before="160" w:line="360"/>
        <w:jc w:val="left"/>
      </w:pPr>
      <w:r>
        <w:rPr>
          <w:rFonts w:ascii="Times New Roman" w:cs="Times New Roman" w:eastAsia="Times New Roman" w:hAnsi="Times New Roman"/>
          <w:b/>
          <w:bCs/>
          <w:i/>
          <w:iCs/>
          <w:color w:val="000000"/>
          <w:sz w:val="24"/>
          <w:szCs w:val="24"/>
        </w:rPr>
        <w:t xml:space="preserve">6.5 Evaluation</w:t>
      </w:r>
    </w:p>
    <w:p>
      <w:pPr>
        <w:spacing w:after="120" w:before="0" w:line="360"/>
        <w:jc w:val="both"/>
      </w:pPr>
      <w:r>
        <w:rPr>
          <w:rFonts w:ascii="Times New Roman" w:cs="Times New Roman" w:eastAsia="Times New Roman" w:hAnsi="Times New Roman"/>
          <w:color w:val="000000"/>
          <w:sz w:val="24"/>
          <w:szCs w:val="24"/>
        </w:rPr>
        <w:t xml:space="preserve">The trained model will be evaluated on StructEval-Bench v1 for structural discrimination and on BEIR/MTEB subsets for general retrieval parity. Statistical significance will be tested for the SDS improvement, with p less than 0.05 as the target criterion.</w:t>
      </w:r>
    </w:p>
    <w:p>
      <w:pPr>
        <w:pStyle w:val="Heading1"/>
        <w:spacing w:after="120" w:before="240" w:line="360"/>
        <w:jc w:val="left"/>
      </w:pPr>
      <w:r>
        <w:rPr>
          <w:rFonts w:ascii="Times New Roman" w:cs="Times New Roman" w:eastAsia="Times New Roman" w:hAnsi="Times New Roman"/>
          <w:b/>
          <w:bCs/>
          <w:color w:val="000000"/>
          <w:sz w:val="28"/>
          <w:szCs w:val="28"/>
        </w:rPr>
        <w:t xml:space="preserve">7. Development Plan</w:t>
      </w:r>
    </w:p>
    <w:p>
      <w:pPr>
        <w:spacing w:after="100" w:before="0" w:line="360"/>
        <w:jc w:val="center"/>
      </w:pPr>
      <w:r>
        <w:rPr>
          <w:rFonts w:ascii="Times New Roman" w:cs="Times New Roman" w:eastAsia="Times New Roman" w:hAnsi="Times New Roman"/>
          <w:b/>
          <w:bCs/>
          <w:color w:val="000000"/>
          <w:sz w:val="24"/>
          <w:szCs w:val="24"/>
        </w:rPr>
        <w:t xml:space="preserve">Table 2: HiSE development plan and success criteria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600"/>
        <w:gridCol w:w="3060"/>
      </w:tblGrid>
      <w:tr>
        <w:tc>
          <w:tcPr>
            <w:tcBorders>
              <w:top w:val="single" w:color="808080" w:sz="4"/>
              <w:left w:val="single" w:color="808080" w:sz="4"/>
              <w:bottom w:val="single" w:color="808080" w:sz="4"/>
              <w:right w:val="single" w:color="808080" w:sz="4"/>
            </w:tcBorders>
            <w:shd w:fill="D9EAF7" w:val="clear"/>
            <w:tcMar>
              <w:top w:type="dxa" w:w="80"/>
              <w:left w:type="dxa" w:w="100"/>
              <w:bottom w:type="dxa" w:w="80"/>
              <w:right w:type="dxa" w:w="100"/>
            </w:tcMar>
          </w:tcPr>
          <w:p>
            <w:pPr>
              <w:spacing w:after="0" w:before="0" w:line="300"/>
              <w:jc w:val="both"/>
            </w:pPr>
            <w:r>
              <w:rPr>
                <w:rFonts w:ascii="Times New Roman" w:cs="Times New Roman" w:eastAsia="Times New Roman" w:hAnsi="Times New Roman"/>
                <w:b/>
                <w:bCs/>
                <w:color w:val="000000"/>
                <w:sz w:val="20"/>
                <w:szCs w:val="20"/>
              </w:rPr>
              <w:t xml:space="preserve">Phase</w:t>
            </w:r>
          </w:p>
        </w:tc>
        <w:tc>
          <w:tcPr>
            <w:tcBorders>
              <w:top w:val="single" w:color="808080" w:sz="4"/>
              <w:left w:val="single" w:color="808080" w:sz="4"/>
              <w:bottom w:val="single" w:color="808080" w:sz="4"/>
              <w:right w:val="single" w:color="808080" w:sz="4"/>
            </w:tcBorders>
            <w:shd w:fill="D9EAF7" w:val="clear"/>
            <w:tcMar>
              <w:top w:type="dxa" w:w="80"/>
              <w:left w:type="dxa" w:w="100"/>
              <w:bottom w:type="dxa" w:w="80"/>
              <w:right w:type="dxa" w:w="100"/>
            </w:tcMar>
          </w:tcPr>
          <w:p>
            <w:pPr>
              <w:spacing w:after="0" w:before="0" w:line="300"/>
              <w:jc w:val="both"/>
            </w:pPr>
            <w:r>
              <w:rPr>
                <w:rFonts w:ascii="Times New Roman" w:cs="Times New Roman" w:eastAsia="Times New Roman" w:hAnsi="Times New Roman"/>
                <w:b/>
                <w:bCs/>
                <w:color w:val="000000"/>
                <w:sz w:val="20"/>
                <w:szCs w:val="20"/>
              </w:rPr>
              <w:t xml:space="preserve">Timeline</w:t>
            </w:r>
          </w:p>
        </w:tc>
        <w:tc>
          <w:tcPr>
            <w:tcBorders>
              <w:top w:val="single" w:color="808080" w:sz="4"/>
              <w:left w:val="single" w:color="808080" w:sz="4"/>
              <w:bottom w:val="single" w:color="808080" w:sz="4"/>
              <w:right w:val="single" w:color="808080" w:sz="4"/>
            </w:tcBorders>
            <w:shd w:fill="D9EAF7" w:val="clear"/>
            <w:tcMar>
              <w:top w:type="dxa" w:w="80"/>
              <w:left w:type="dxa" w:w="100"/>
              <w:bottom w:type="dxa" w:w="80"/>
              <w:right w:type="dxa" w:w="100"/>
            </w:tcMar>
          </w:tcPr>
          <w:p>
            <w:pPr>
              <w:spacing w:after="0" w:before="0" w:line="300"/>
              <w:jc w:val="both"/>
            </w:pPr>
            <w:r>
              <w:rPr>
                <w:rFonts w:ascii="Times New Roman" w:cs="Times New Roman" w:eastAsia="Times New Roman" w:hAnsi="Times New Roman"/>
                <w:b/>
                <w:bCs/>
                <w:color w:val="000000"/>
                <w:sz w:val="20"/>
                <w:szCs w:val="20"/>
              </w:rPr>
              <w:t xml:space="preserve">Planned Work</w:t>
            </w:r>
          </w:p>
        </w:tc>
        <w:tc>
          <w:tcPr>
            <w:tcBorders>
              <w:top w:val="single" w:color="808080" w:sz="4"/>
              <w:left w:val="single" w:color="808080" w:sz="4"/>
              <w:bottom w:val="single" w:color="808080" w:sz="4"/>
              <w:right w:val="single" w:color="808080" w:sz="4"/>
            </w:tcBorders>
            <w:shd w:fill="D9EAF7" w:val="clear"/>
            <w:tcMar>
              <w:top w:type="dxa" w:w="80"/>
              <w:left w:type="dxa" w:w="100"/>
              <w:bottom w:type="dxa" w:w="80"/>
              <w:right w:type="dxa" w:w="100"/>
            </w:tcMar>
          </w:tcPr>
          <w:p>
            <w:pPr>
              <w:spacing w:after="0" w:before="0" w:line="300"/>
              <w:jc w:val="both"/>
            </w:pPr>
            <w:r>
              <w:rPr>
                <w:rFonts w:ascii="Times New Roman" w:cs="Times New Roman" w:eastAsia="Times New Roman" w:hAnsi="Times New Roman"/>
                <w:b/>
                <w:bCs/>
                <w:color w:val="000000"/>
                <w:sz w:val="20"/>
                <w:szCs w:val="20"/>
              </w:rPr>
              <w:t xml:space="preserve">Success Criterion</w:t>
            </w:r>
          </w:p>
        </w:tc>
      </w:tr>
      <w:tr>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Failure Survey</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Month 1-2</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Measure the structural discrimination gap across baseline embedding models and formats.</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Cosine similarity at least 0.90 on structurally opposed pairs; RIR baseline established.</w:t>
            </w:r>
          </w:p>
        </w:tc>
      </w:tr>
      <w:tr>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HiSA Build</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Month 2-3</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Implement the four-dimensional address, parsers, and POMDP structural state estimator.</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Zero-structure case matches standard RoPE.</w:t>
            </w:r>
          </w:p>
        </w:tc>
      </w:tr>
      <w:tr>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Benchmark</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Month 3-4</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Build and document StructEval-Bench v1 with SDS and RIR metrics.</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Benchmark released with annotation guidelines.</w:t>
            </w:r>
          </w:p>
        </w:tc>
      </w:tr>
      <w:tr>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Training</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Month 4-5</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Train HiSE-Embed with structural hard negatives and run the ablation.</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Statistically significant SDS improvement over the RoPE baseline.</w:t>
            </w:r>
          </w:p>
        </w:tc>
      </w:tr>
      <w:tr>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Evaluation and Release</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Month 6</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Evaluate on BEIR/MTEB, release artifacts, and prepare the research submission.</w:t>
            </w:r>
          </w:p>
        </w:tc>
        <w:tc>
          <w:tcPr>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0" w:before="0" w:line="300"/>
              <w:jc w:val="both"/>
            </w:pPr>
            <w:r>
              <w:rPr>
                <w:rFonts w:ascii="Times New Roman" w:cs="Times New Roman" w:eastAsia="Times New Roman" w:hAnsi="Times New Roman"/>
                <w:b w:val="false"/>
                <w:bCs w:val="false"/>
                <w:color w:val="000000"/>
                <w:sz w:val="20"/>
                <w:szCs w:val="20"/>
              </w:rPr>
              <w:t xml:space="preserve">nDCG@10 within two percent; submission by November 30, 2026.</w:t>
            </w:r>
          </w:p>
        </w:tc>
      </w:tr>
    </w:tbl>
    <w:p>
      <w:pPr>
        <w:spacing w:after="80" w:before="160" w:line="360"/>
        <w:jc w:val="left"/>
      </w:pPr>
      <w:r>
        <w:rPr>
          <w:rFonts w:ascii="Times New Roman" w:cs="Times New Roman" w:eastAsia="Times New Roman" w:hAnsi="Times New Roman"/>
          <w:b/>
          <w:bCs/>
          <w:i/>
          <w:iCs/>
          <w:color w:val="000000"/>
          <w:sz w:val="24"/>
          <w:szCs w:val="24"/>
        </w:rPr>
        <w:t xml:space="preserve">7.1 Technology and Requirements</w:t>
      </w:r>
    </w:p>
    <w:p>
      <w:pPr>
        <w:spacing w:after="120" w:before="0" w:line="360"/>
        <w:jc w:val="both"/>
      </w:pPr>
      <w:r>
        <w:rPr>
          <w:rFonts w:ascii="Times New Roman" w:cs="Times New Roman" w:eastAsia="Times New Roman" w:hAnsi="Times New Roman"/>
          <w:color w:val="000000"/>
          <w:sz w:val="24"/>
          <w:szCs w:val="24"/>
        </w:rPr>
        <w:t xml:space="preserve">The implementation will use Python, PyTorch 2.x, CUDA, HuggingFace Transformers, Sentence-Transformers, FAISS, Python-Markdown, pandas, JSON parsing, and HTML/XML DOM parsing. BEIR, MTEB, and StructEval-Bench v1 will support evaluation. Docker will be used for reproducible development and training.</w:t>
      </w:r>
    </w:p>
    <w:p>
      <w:pPr>
        <w:spacing w:after="120" w:before="0" w:line="360"/>
        <w:jc w:val="both"/>
      </w:pPr>
      <w:r>
        <w:rPr>
          <w:rFonts w:ascii="Times New Roman" w:cs="Times New Roman" w:eastAsia="Times New Roman" w:hAnsi="Times New Roman"/>
          <w:color w:val="000000"/>
          <w:sz w:val="24"/>
          <w:szCs w:val="24"/>
        </w:rPr>
        <w:t xml:space="preserve">Training and prototype validation will use locally hosted NVIDIA GPU systems with at least 8 GB VRAM, 16-32 GB RAM, and approximately 500 GB SSD storage for checkpoints and embedding indexes.</w:t>
      </w:r>
    </w:p>
    <w:p>
      <w:pPr>
        <w:pStyle w:val="Heading1"/>
        <w:spacing w:after="120" w:before="240" w:line="360"/>
        <w:jc w:val="left"/>
      </w:pPr>
      <w:r>
        <w:rPr>
          <w:rFonts w:ascii="Times New Roman" w:cs="Times New Roman" w:eastAsia="Times New Roman" w:hAnsi="Times New Roman"/>
          <w:b/>
          <w:bCs/>
          <w:color w:val="000000"/>
          <w:sz w:val="28"/>
          <w:szCs w:val="28"/>
        </w:rPr>
        <w:t xml:space="preserve">8. Conclusion</w:t>
      </w:r>
    </w:p>
    <w:p>
      <w:pPr>
        <w:spacing w:after="120" w:before="0" w:line="360"/>
        <w:jc w:val="both"/>
      </w:pPr>
      <w:r>
        <w:rPr>
          <w:rFonts w:ascii="Times New Roman" w:cs="Times New Roman" w:eastAsia="Times New Roman" w:hAnsi="Times New Roman"/>
          <w:color w:val="000000"/>
          <w:sz w:val="24"/>
          <w:szCs w:val="24"/>
        </w:rPr>
        <w:t xml:space="preserve">HiSE addresses a fundamental limitation in dense retrieval: existing positional encodings represent where a token appears in a sequence but not where it exists in a document structure. HiSA introduces a composite structural address and embeds it into the rotational geometry of attention.</w:t>
      </w:r>
    </w:p>
    <w:p>
      <w:pPr>
        <w:spacing w:after="120" w:before="0" w:line="360"/>
        <w:jc w:val="both"/>
      </w:pPr>
      <w:r>
        <w:rPr>
          <w:rFonts w:ascii="Times New Roman" w:cs="Times New Roman" w:eastAsia="Times New Roman" w:hAnsi="Times New Roman"/>
          <w:color w:val="000000"/>
          <w:sz w:val="24"/>
          <w:szCs w:val="24"/>
        </w:rPr>
        <w:t xml:space="preserve">The project will deliver three primary artifacts: HiSE-Embed, a structure-sensitive embedding model under 300 million parameters; StructEval-Bench v1, a benchmark for structural discrimination; and an open-source HiSA implementation. The controlled experimental design keeps the backbone, data, and compute constant so that any retrieval improvement can be attributed to the positional encoding change.</w:t>
      </w:r>
    </w:p>
    <w:p>
      <w:pPr>
        <w:spacing w:after="120" w:before="0" w:line="360"/>
        <w:jc w:val="both"/>
      </w:pPr>
      <w:r>
        <w:rPr>
          <w:rFonts w:ascii="Times New Roman" w:cs="Times New Roman" w:eastAsia="Times New Roman" w:hAnsi="Times New Roman"/>
          <w:color w:val="000000"/>
          <w:sz w:val="24"/>
          <w:szCs w:val="24"/>
        </w:rPr>
        <w:t xml:space="preserve">Future work includes applying HiSA to generative language models, extending structural retrieval to Indic and other multilingual settings, and expanding StructEval-Bench to legal, clinical, and financial documents with expert annotation.</w:t>
      </w:r>
    </w:p>
    <w:p>
      <w:pPr>
        <w:pStyle w:val="Heading1"/>
        <w:spacing w:after="120" w:before="240" w:line="360"/>
        <w:jc w:val="left"/>
      </w:pPr>
      <w:r>
        <w:rPr>
          <w:rFonts w:ascii="Times New Roman" w:cs="Times New Roman" w:eastAsia="Times New Roman" w:hAnsi="Times New Roman"/>
          <w:b/>
          <w:bCs/>
          <w:color w:val="000000"/>
          <w:sz w:val="28"/>
          <w:szCs w:val="28"/>
        </w:rPr>
        <w:t xml:space="preserve">9. References</w:t>
      </w:r>
    </w:p>
    <w:p>
      <w:pPr>
        <w:spacing w:after="120" w:before="0" w:line="360"/>
        <w:jc w:val="both"/>
      </w:pPr>
      <w:r>
        <w:rPr>
          <w:rFonts w:ascii="Times New Roman" w:cs="Times New Roman" w:eastAsia="Times New Roman" w:hAnsi="Times New Roman"/>
          <w:color w:val="000000"/>
          <w:sz w:val="24"/>
          <w:szCs w:val="24"/>
        </w:rPr>
        <w:t xml:space="preserve">[1] Vaswani, A. et al. (2017). Attention Is All You Need. Advances in Neural Information Processing Systems, 30.</w:t>
      </w:r>
    </w:p>
    <w:p>
      <w:pPr>
        <w:spacing w:after="120" w:before="0" w:line="360"/>
        <w:jc w:val="both"/>
      </w:pPr>
      <w:r>
        <w:rPr>
          <w:rFonts w:ascii="Times New Roman" w:cs="Times New Roman" w:eastAsia="Times New Roman" w:hAnsi="Times New Roman"/>
          <w:color w:val="000000"/>
          <w:sz w:val="24"/>
          <w:szCs w:val="24"/>
        </w:rPr>
        <w:t xml:space="preserve">[2] Wang, Z. et al. (2021). TUTA: Tree-based Transformers for Generally Structured Table Pre-training. KDD 2021.</w:t>
      </w:r>
    </w:p>
    <w:p>
      <w:pPr>
        <w:spacing w:after="120" w:before="0" w:line="360"/>
        <w:jc w:val="both"/>
      </w:pPr>
      <w:r>
        <w:rPr>
          <w:rFonts w:ascii="Times New Roman" w:cs="Times New Roman" w:eastAsia="Times New Roman" w:hAnsi="Times New Roman"/>
          <w:color w:val="000000"/>
          <w:sz w:val="24"/>
          <w:szCs w:val="24"/>
        </w:rPr>
        <w:t xml:space="preserve">[3] Deng, X. et al. (2022). DOM-LM: Learning Generalizable Representations for HTML Documents. arXiv:2201.10608.</w:t>
      </w:r>
    </w:p>
    <w:p>
      <w:pPr>
        <w:spacing w:after="120" w:before="0" w:line="360"/>
        <w:jc w:val="both"/>
      </w:pPr>
      <w:r>
        <w:rPr>
          <w:rFonts w:ascii="Times New Roman" w:cs="Times New Roman" w:eastAsia="Times New Roman" w:hAnsi="Times New Roman"/>
          <w:color w:val="000000"/>
          <w:sz w:val="24"/>
          <w:szCs w:val="24"/>
        </w:rPr>
        <w:t xml:space="preserve">[4] Thakur, N. et al. (2021). BEIR: A Heterogeneous Benchmark for Zero-shot Evaluation of Information Retrieval Models. NeurIPS 2021.</w:t>
      </w:r>
    </w:p>
    <w:p>
      <w:pPr>
        <w:spacing w:after="120" w:before="0" w:line="360"/>
        <w:jc w:val="both"/>
      </w:pPr>
      <w:r>
        <w:rPr>
          <w:rFonts w:ascii="Times New Roman" w:cs="Times New Roman" w:eastAsia="Times New Roman" w:hAnsi="Times New Roman"/>
          <w:color w:val="000000"/>
          <w:sz w:val="24"/>
          <w:szCs w:val="24"/>
        </w:rPr>
        <w:t xml:space="preserve">[5] Muennighoff, N. et al. (2023). MTEB: Massive Text Embedding Benchmark. arXiv:2210.07316.</w:t>
      </w:r>
    </w:p>
    <w:p>
      <w:pPr>
        <w:spacing w:after="120" w:before="0" w:line="360"/>
        <w:jc w:val="both"/>
      </w:pPr>
      <w:r>
        <w:rPr>
          <w:rFonts w:ascii="Times New Roman" w:cs="Times New Roman" w:eastAsia="Times New Roman" w:hAnsi="Times New Roman"/>
          <w:color w:val="000000"/>
          <w:sz w:val="24"/>
          <w:szCs w:val="24"/>
        </w:rPr>
        <w:t xml:space="preserve">[6] Su, J. et al. (2024). RoFormer: Enhanced Transformer with Rotary Position Embedding. Neurocomputing, 568, 127063.</w:t>
      </w:r>
    </w:p>
    <w:p>
      <w:pPr>
        <w:spacing w:after="120" w:before="0" w:line="360"/>
        <w:jc w:val="both"/>
      </w:pPr>
      <w:r>
        <w:rPr>
          <w:rFonts w:ascii="Times New Roman" w:cs="Times New Roman" w:eastAsia="Times New Roman" w:hAnsi="Times New Roman"/>
          <w:color w:val="000000"/>
          <w:sz w:val="24"/>
          <w:szCs w:val="24"/>
        </w:rPr>
        <w:t xml:space="preserve">[7] Liu, S. et al. (2025). Struc-EMB: The Potential of Structure-Aware Encoding in Language Embeddings. arXiv:2510.08774.</w:t>
      </w:r>
    </w:p>
    <w:p>
      <w:pPr>
        <w:spacing w:after="120" w:before="0" w:line="360"/>
        <w:jc w:val="both"/>
      </w:pPr>
      <w:r>
        <w:rPr>
          <w:rFonts w:ascii="Times New Roman" w:cs="Times New Roman" w:eastAsia="Times New Roman" w:hAnsi="Times New Roman"/>
          <w:color w:val="000000"/>
          <w:sz w:val="24"/>
          <w:szCs w:val="24"/>
        </w:rPr>
        <w:t xml:space="preserve">[8] Liu, H. et al. (2025). Rethinking RoPE: A Mathematical Blueprint for N-dimensional Positional Embedding. arXiv:2504.06308.</w:t>
      </w:r>
    </w:p>
    <w:p>
      <w:pPr>
        <w:spacing w:after="120" w:before="0" w:line="360"/>
        <w:jc w:val="both"/>
      </w:pPr>
      <w:r>
        <w:rPr>
          <w:rFonts w:ascii="Times New Roman" w:cs="Times New Roman" w:eastAsia="Times New Roman" w:hAnsi="Times New Roman"/>
          <w:color w:val="000000"/>
          <w:sz w:val="24"/>
          <w:szCs w:val="24"/>
        </w:rPr>
        <w:t xml:space="preserve">[9] Wang, Z. et al. (2022). Table Retrieval May Not Necessitate Table-specific Model Design. arXiv:2205.09843.</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00" w:before="0" w:line="360"/>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before="0" w:line="360"/>
      <w:jc w:val="center"/>
    </w:pPr>
    <w:r>
      <w:rPr>
        <w:rFonts w:ascii="Times New Roman" w:cs="Times New Roman" w:eastAsia="Times New Roman" w:hAnsi="Times New Roman"/>
        <w:b/>
        <w:bCs/>
        <w:color w:val="1F4E79"/>
        <w:sz w:val="20"/>
        <w:szCs w:val="20"/>
      </w:rPr>
      <w:t xml:space="preserve">Project Topic Registration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Topic Registration Report - HiSE</dc:title>
  <dc:creator>Applied Sentience Labs</dc:creator>
  <dc:description>Project Topic Registration Report for HiSE</dc:description>
  <cp:lastModifiedBy>Un-named</cp:lastModifiedBy>
  <cp:revision>1</cp:revision>
  <dcterms:created xsi:type="dcterms:W3CDTF">2026-09-03T23:20:08.355Z</dcterms:created>
  <dcterms:modified xsi:type="dcterms:W3CDTF">2026-09-03T23:20:08.364Z</dcterms:modified>
</cp:coreProperties>
</file>

<file path=docProps/custom.xml><?xml version="1.0" encoding="utf-8"?>
<Properties xmlns="http://schemas.openxmlformats.org/officeDocument/2006/custom-properties" xmlns:vt="http://schemas.openxmlformats.org/officeDocument/2006/docPropsVTypes"/>
</file>