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89987" w14:textId="77777777" w:rsidR="004E767B" w:rsidRPr="00285FB7" w:rsidRDefault="00D17EB4">
      <w:pPr>
        <w:spacing w:before="1600" w:after="200"/>
        <w:jc w:val="center"/>
        <w:rPr>
          <w:lang w:val="fr-FR"/>
        </w:rPr>
      </w:pPr>
      <w:r w:rsidRPr="00285FB7">
        <w:rPr>
          <w:b/>
          <w:bCs/>
          <w:color w:val="5B6477"/>
          <w:sz w:val="24"/>
          <w:szCs w:val="24"/>
          <w:lang w:val="fr-FR"/>
        </w:rPr>
        <w:t>CAHIER DES CHARGES</w:t>
      </w:r>
    </w:p>
    <w:p w14:paraId="2576AF34" w14:textId="77777777" w:rsidR="004E767B" w:rsidRPr="00285FB7" w:rsidRDefault="00D17EB4">
      <w:pPr>
        <w:spacing w:after="400"/>
        <w:jc w:val="center"/>
        <w:rPr>
          <w:lang w:val="fr-FR"/>
        </w:rPr>
      </w:pPr>
      <w:r w:rsidRPr="00285FB7">
        <w:rPr>
          <w:b/>
          <w:bCs/>
          <w:color w:val="1E2761"/>
          <w:sz w:val="56"/>
          <w:szCs w:val="56"/>
          <w:lang w:val="fr-FR"/>
        </w:rPr>
        <w:t>Agent IA de Revue Fiscale</w:t>
      </w:r>
    </w:p>
    <w:p w14:paraId="552C2B97" w14:textId="77777777" w:rsidR="004E767B" w:rsidRPr="00285FB7" w:rsidRDefault="00D17EB4">
      <w:pPr>
        <w:spacing w:after="800"/>
        <w:jc w:val="center"/>
        <w:rPr>
          <w:lang w:val="fr-FR"/>
        </w:rPr>
      </w:pPr>
      <w:r w:rsidRPr="00285FB7">
        <w:rPr>
          <w:color w:val="5B6477"/>
          <w:sz w:val="26"/>
          <w:szCs w:val="26"/>
          <w:lang w:val="fr-FR"/>
        </w:rPr>
        <w:t>Détection préventive des anomalies TVA et Retenue à la Source avant déclaration</w:t>
      </w:r>
    </w:p>
    <w:p w14:paraId="1A91278F" w14:textId="059A7AFF" w:rsidR="004E767B" w:rsidRPr="00285FB7" w:rsidRDefault="005D77E8">
      <w:pPr>
        <w:spacing w:after="100"/>
        <w:jc w:val="center"/>
        <w:rPr>
          <w:lang w:val="fr-FR"/>
        </w:rPr>
      </w:pPr>
      <w:r>
        <w:rPr>
          <w:lang w:val="fr-FR"/>
        </w:rPr>
        <w:t>RAM</w:t>
      </w:r>
      <w:r w:rsidR="00D17EB4" w:rsidRPr="00285FB7">
        <w:rPr>
          <w:lang w:val="fr-FR"/>
        </w:rPr>
        <w:t xml:space="preserve"> — Direction Financière / Finance Décentralisée</w:t>
      </w:r>
    </w:p>
    <w:p w14:paraId="4DA75B69" w14:textId="04376134" w:rsidR="004E767B" w:rsidRPr="00285FB7" w:rsidRDefault="00D17EB4">
      <w:pPr>
        <w:spacing w:after="100"/>
        <w:jc w:val="center"/>
        <w:rPr>
          <w:lang w:val="fr-FR"/>
        </w:rPr>
      </w:pPr>
      <w:r w:rsidRPr="00285FB7">
        <w:rPr>
          <w:lang w:val="fr-FR"/>
        </w:rPr>
        <w:t xml:space="preserve">Périmètre OHADA — </w:t>
      </w:r>
      <w:r w:rsidR="00285FB7">
        <w:rPr>
          <w:lang w:val="fr-FR"/>
        </w:rPr>
        <w:t>Burkina Faso</w:t>
      </w:r>
    </w:p>
    <w:p w14:paraId="1EF1C197" w14:textId="77777777" w:rsidR="004E767B" w:rsidRPr="00285FB7" w:rsidRDefault="00D17EB4">
      <w:pPr>
        <w:rPr>
          <w:lang w:val="fr-FR"/>
        </w:rPr>
      </w:pPr>
      <w:r w:rsidRPr="00285FB7">
        <w:rPr>
          <w:lang w:val="fr-FR"/>
        </w:rPr>
        <w:br w:type="page"/>
      </w:r>
    </w:p>
    <w:p w14:paraId="3B9C8A48" w14:textId="77777777" w:rsidR="004E767B" w:rsidRPr="00285FB7" w:rsidRDefault="00D17EB4">
      <w:pPr>
        <w:pStyle w:val="Titre1"/>
        <w:rPr>
          <w:lang w:val="fr-FR"/>
        </w:rPr>
      </w:pPr>
      <w:r w:rsidRPr="00285FB7">
        <w:rPr>
          <w:lang w:val="fr-FR"/>
        </w:rPr>
        <w:lastRenderedPageBreak/>
        <w:t>Sommaire</w:t>
      </w:r>
    </w:p>
    <w:p w14:paraId="7F71D07B" w14:textId="77777777" w:rsidR="004E767B" w:rsidRPr="00285FB7" w:rsidRDefault="00D17EB4">
      <w:pPr>
        <w:spacing w:after="140"/>
        <w:rPr>
          <w:lang w:val="fr-FR"/>
        </w:rPr>
      </w:pPr>
      <w:r w:rsidRPr="00285FB7">
        <w:rPr>
          <w:lang w:val="fr-FR"/>
        </w:rPr>
        <w:t>1. Contexte et objectifs</w:t>
      </w:r>
    </w:p>
    <w:p w14:paraId="4C580734" w14:textId="77777777" w:rsidR="004E767B" w:rsidRPr="00285FB7" w:rsidRDefault="00D17EB4">
      <w:pPr>
        <w:spacing w:after="140"/>
        <w:rPr>
          <w:lang w:val="fr-FR"/>
        </w:rPr>
      </w:pPr>
      <w:r w:rsidRPr="00285FB7">
        <w:rPr>
          <w:lang w:val="fr-FR"/>
        </w:rPr>
        <w:t>2. Périmètre du projet</w:t>
      </w:r>
    </w:p>
    <w:p w14:paraId="68192DEE" w14:textId="77777777" w:rsidR="004E767B" w:rsidRPr="00285FB7" w:rsidRDefault="00D17EB4">
      <w:pPr>
        <w:spacing w:after="140"/>
        <w:rPr>
          <w:lang w:val="fr-FR"/>
        </w:rPr>
      </w:pPr>
      <w:r w:rsidRPr="00285FB7">
        <w:rPr>
          <w:lang w:val="fr-FR"/>
        </w:rPr>
        <w:t>3. Architecture fonctionnelle cible</w:t>
      </w:r>
    </w:p>
    <w:p w14:paraId="2903EDB6" w14:textId="77777777" w:rsidR="004E767B" w:rsidRPr="00285FB7" w:rsidRDefault="00D17EB4">
      <w:pPr>
        <w:spacing w:after="140"/>
        <w:rPr>
          <w:lang w:val="fr-FR"/>
        </w:rPr>
      </w:pPr>
      <w:r w:rsidRPr="00285FB7">
        <w:rPr>
          <w:lang w:val="fr-FR"/>
        </w:rPr>
        <w:t>4. Catalogue de contrôles fiscaux</w:t>
      </w:r>
    </w:p>
    <w:p w14:paraId="16C32853" w14:textId="77777777" w:rsidR="004E767B" w:rsidRPr="00285FB7" w:rsidRDefault="00D17EB4">
      <w:pPr>
        <w:spacing w:after="140"/>
        <w:rPr>
          <w:lang w:val="fr-FR"/>
        </w:rPr>
      </w:pPr>
      <w:r w:rsidRPr="00285FB7">
        <w:rPr>
          <w:lang w:val="fr-FR"/>
        </w:rPr>
        <w:t>5. Données nécessaires (inputs)</w:t>
      </w:r>
    </w:p>
    <w:p w14:paraId="57EEBD63" w14:textId="77777777" w:rsidR="004E767B" w:rsidRPr="00285FB7" w:rsidRDefault="00D17EB4">
      <w:pPr>
        <w:spacing w:after="140"/>
        <w:rPr>
          <w:lang w:val="fr-FR"/>
        </w:rPr>
      </w:pPr>
      <w:r w:rsidRPr="00285FB7">
        <w:rPr>
          <w:lang w:val="fr-FR"/>
        </w:rPr>
        <w:t>6. Architecture technique</w:t>
      </w:r>
    </w:p>
    <w:p w14:paraId="7CE45282" w14:textId="77777777" w:rsidR="004E767B" w:rsidRPr="00285FB7" w:rsidRDefault="00D17EB4">
      <w:pPr>
        <w:spacing w:after="140"/>
        <w:rPr>
          <w:lang w:val="fr-FR"/>
        </w:rPr>
      </w:pPr>
      <w:r w:rsidRPr="00285FB7">
        <w:rPr>
          <w:lang w:val="fr-FR"/>
        </w:rPr>
        <w:t>7. Feuille de route</w:t>
      </w:r>
    </w:p>
    <w:p w14:paraId="5E3E335F" w14:textId="77777777" w:rsidR="004E767B" w:rsidRPr="00285FB7" w:rsidRDefault="00D17EB4">
      <w:pPr>
        <w:spacing w:after="140"/>
        <w:rPr>
          <w:lang w:val="fr-FR"/>
        </w:rPr>
      </w:pPr>
      <w:r w:rsidRPr="00285FB7">
        <w:rPr>
          <w:lang w:val="fr-FR"/>
        </w:rPr>
        <w:t>8. Gouvernance et limites du système</w:t>
      </w:r>
    </w:p>
    <w:p w14:paraId="13459DF4" w14:textId="77777777" w:rsidR="004E767B" w:rsidRPr="00285FB7" w:rsidRDefault="00D17EB4">
      <w:pPr>
        <w:rPr>
          <w:lang w:val="fr-FR"/>
        </w:rPr>
      </w:pPr>
      <w:r w:rsidRPr="00285FB7">
        <w:rPr>
          <w:lang w:val="fr-FR"/>
        </w:rPr>
        <w:br w:type="page"/>
      </w:r>
    </w:p>
    <w:p w14:paraId="70C95654" w14:textId="77777777" w:rsidR="004E767B" w:rsidRPr="00285FB7" w:rsidRDefault="00D17EB4">
      <w:pPr>
        <w:pStyle w:val="Titre1"/>
        <w:rPr>
          <w:lang w:val="fr-FR"/>
        </w:rPr>
      </w:pPr>
      <w:r w:rsidRPr="00285FB7">
        <w:rPr>
          <w:lang w:val="fr-FR"/>
        </w:rPr>
        <w:lastRenderedPageBreak/>
        <w:t>1. Contexte et objectifs</w:t>
      </w:r>
    </w:p>
    <w:p w14:paraId="7701D9A9" w14:textId="36CD5ABB" w:rsidR="004E767B" w:rsidRPr="00285FB7" w:rsidRDefault="00D17EB4">
      <w:pPr>
        <w:spacing w:after="160"/>
        <w:rPr>
          <w:lang w:val="fr-FR"/>
        </w:rPr>
      </w:pPr>
      <w:r w:rsidRPr="00285FB7">
        <w:rPr>
          <w:lang w:val="fr-FR"/>
        </w:rPr>
        <w:t xml:space="preserve">Les entités décentralisées de la </w:t>
      </w:r>
      <w:r w:rsidR="005D77E8">
        <w:rPr>
          <w:lang w:val="fr-FR"/>
        </w:rPr>
        <w:t>RAM</w:t>
      </w:r>
      <w:r w:rsidRPr="00285FB7">
        <w:rPr>
          <w:lang w:val="fr-FR"/>
        </w:rPr>
        <w:t>, soumises au système OHADA, externalisent aujourd'hui la gestion fiscale à des cabinets locaux. Ce modèle ne dispose d'aucun mécanisme de vérification indépendante en interne avant le dépôt des déclarations, ce qui expose les entités à des redressements fiscaux consécutifs à des déclarations non conformes.</w:t>
      </w:r>
    </w:p>
    <w:p w14:paraId="1D08200F" w14:textId="77777777" w:rsidR="004E767B" w:rsidRPr="00285FB7" w:rsidRDefault="00D17EB4">
      <w:pPr>
        <w:spacing w:after="160"/>
        <w:rPr>
          <w:lang w:val="fr-FR"/>
        </w:rPr>
      </w:pPr>
      <w:r w:rsidRPr="00285FB7">
        <w:rPr>
          <w:lang w:val="fr-FR"/>
        </w:rPr>
        <w:t>L'objectif du projet est de concevoir un agent IA de revue fiscale capable d'analyser les données comptables produites par le cabinet fiscal afin de détecter automatiquement les incohérences liées à la TVA et à la Retenue à la Source (RAS), avant la validation par le responsable financier (RF).</w:t>
      </w:r>
    </w:p>
    <w:p w14:paraId="5BC29612" w14:textId="77777777" w:rsidR="004E767B" w:rsidRPr="00285FB7" w:rsidRDefault="00D17EB4">
      <w:pPr>
        <w:pStyle w:val="Titre3"/>
        <w:rPr>
          <w:lang w:val="fr-FR"/>
        </w:rPr>
      </w:pPr>
      <w:r w:rsidRPr="00285FB7">
        <w:rPr>
          <w:lang w:val="fr-FR"/>
        </w:rPr>
        <w:t>1.1 Positionnement pré-déclaratif</w:t>
      </w:r>
    </w:p>
    <w:p w14:paraId="53041A56" w14:textId="77777777" w:rsidR="004E767B" w:rsidRPr="00285FB7" w:rsidRDefault="00D17EB4">
      <w:pPr>
        <w:spacing w:after="160"/>
        <w:rPr>
          <w:lang w:val="fr-FR"/>
        </w:rPr>
      </w:pPr>
      <w:r w:rsidRPr="00285FB7">
        <w:rPr>
          <w:lang w:val="fr-FR"/>
        </w:rPr>
        <w:t>Le système n'intervient pas en audit rétrospectif. Il s'insère entre la clôture du Grand Livre (GL) et le dépôt de la déclaration, afin de permettre une correction avant que l'anomalie ne devienne un risque de redressement.</w:t>
      </w:r>
    </w:p>
    <w:p w14:paraId="5F73415D" w14:textId="77777777" w:rsidR="004E767B" w:rsidRPr="00285FB7" w:rsidRDefault="00D17EB4">
      <w:pPr>
        <w:pStyle w:val="Titre3"/>
        <w:rPr>
          <w:lang w:val="fr-FR"/>
        </w:rPr>
      </w:pPr>
      <w:r w:rsidRPr="00285FB7">
        <w:rPr>
          <w:lang w:val="fr-FR"/>
        </w:rPr>
        <w:t>1.2 Ce que le système n'est pas</w:t>
      </w:r>
    </w:p>
    <w:p w14:paraId="639F6ABE" w14:textId="77777777" w:rsidR="004E767B" w:rsidRPr="00285FB7" w:rsidRDefault="00D17EB4">
      <w:pPr>
        <w:pStyle w:val="Paragraphedeliste"/>
        <w:numPr>
          <w:ilvl w:val="0"/>
          <w:numId w:val="2"/>
        </w:numPr>
        <w:spacing w:after="80"/>
        <w:rPr>
          <w:lang w:val="fr-FR"/>
        </w:rPr>
      </w:pPr>
      <w:r w:rsidRPr="00285FB7">
        <w:rPr>
          <w:lang w:val="fr-FR"/>
        </w:rPr>
        <w:t>Il ne remplace ni le cabinet fiscal ni le responsable financier : la décision finale reste humaine.</w:t>
      </w:r>
    </w:p>
    <w:p w14:paraId="75CEF2AE" w14:textId="77777777" w:rsidR="004E767B" w:rsidRPr="00285FB7" w:rsidRDefault="00D17EB4">
      <w:pPr>
        <w:pStyle w:val="Paragraphedeliste"/>
        <w:numPr>
          <w:ilvl w:val="0"/>
          <w:numId w:val="2"/>
        </w:numPr>
        <w:spacing w:after="80"/>
        <w:rPr>
          <w:lang w:val="fr-FR"/>
        </w:rPr>
      </w:pPr>
      <w:r w:rsidRPr="00285FB7">
        <w:rPr>
          <w:lang w:val="fr-FR"/>
        </w:rPr>
        <w:t>Il ne calcule pas les déclarations fiscales : il contrôle la cohérence des données qui les alimentent.</w:t>
      </w:r>
    </w:p>
    <w:p w14:paraId="1F41007D" w14:textId="77777777" w:rsidR="004E767B" w:rsidRPr="00285FB7" w:rsidRDefault="00D17EB4">
      <w:pPr>
        <w:pStyle w:val="Paragraphedeliste"/>
        <w:numPr>
          <w:ilvl w:val="0"/>
          <w:numId w:val="2"/>
        </w:numPr>
        <w:spacing w:after="80"/>
        <w:rPr>
          <w:lang w:val="fr-FR"/>
        </w:rPr>
      </w:pPr>
      <w:r w:rsidRPr="00285FB7">
        <w:rPr>
          <w:lang w:val="fr-FR"/>
        </w:rPr>
        <w:t>Le LLM n'intervient qu'en explication des anomalies déjà détectées par des règles déterministes — jamais en décision.</w:t>
      </w:r>
    </w:p>
    <w:p w14:paraId="1BBC77E1" w14:textId="77777777" w:rsidR="004E767B" w:rsidRPr="00285FB7" w:rsidRDefault="00D17EB4">
      <w:pPr>
        <w:pStyle w:val="Titre1"/>
        <w:rPr>
          <w:lang w:val="fr-FR"/>
        </w:rPr>
      </w:pPr>
      <w:r w:rsidRPr="00285FB7">
        <w:rPr>
          <w:lang w:val="fr-FR"/>
        </w:rPr>
        <w:t>2. Périmètre du projet</w:t>
      </w:r>
    </w:p>
    <w:p w14:paraId="2C5B565E" w14:textId="77777777" w:rsidR="004E767B" w:rsidRDefault="00D17EB4">
      <w:pPr>
        <w:pStyle w:val="Titre3"/>
      </w:pPr>
      <w:r>
        <w:t>2.2 Cas d'usage de référence</w:t>
      </w:r>
    </w:p>
    <w:p w14:paraId="470D1F4D" w14:textId="14367F53" w:rsidR="004E767B" w:rsidRPr="00285FB7" w:rsidRDefault="00D17EB4">
      <w:pPr>
        <w:pStyle w:val="Paragraphedeliste"/>
        <w:numPr>
          <w:ilvl w:val="0"/>
          <w:numId w:val="2"/>
        </w:numPr>
        <w:spacing w:after="80"/>
        <w:rPr>
          <w:lang w:val="fr-FR"/>
        </w:rPr>
      </w:pPr>
      <w:r w:rsidRPr="00285FB7">
        <w:rPr>
          <w:lang w:val="fr-FR"/>
        </w:rPr>
        <w:t xml:space="preserve">TVA non récupérable </w:t>
      </w:r>
      <w:r w:rsidR="00285FB7">
        <w:rPr>
          <w:lang w:val="fr-FR"/>
        </w:rPr>
        <w:t>sur charge (crédit de TVA)</w:t>
      </w:r>
    </w:p>
    <w:p w14:paraId="7F9F4BAF" w14:textId="57702835" w:rsidR="00285FB7" w:rsidRDefault="00D17EB4" w:rsidP="00285FB7">
      <w:pPr>
        <w:pStyle w:val="Paragraphedeliste"/>
        <w:numPr>
          <w:ilvl w:val="0"/>
          <w:numId w:val="2"/>
        </w:numPr>
        <w:spacing w:after="80"/>
        <w:rPr>
          <w:lang w:val="fr-FR"/>
        </w:rPr>
      </w:pPr>
      <w:r w:rsidRPr="00285FB7">
        <w:rPr>
          <w:lang w:val="fr-FR"/>
        </w:rPr>
        <w:t xml:space="preserve">Retenue à la source </w:t>
      </w:r>
    </w:p>
    <w:p w14:paraId="674F0793" w14:textId="3D56DB82" w:rsidR="00285FB7" w:rsidRPr="00285FB7" w:rsidRDefault="00285FB7" w:rsidP="00285FB7">
      <w:pPr>
        <w:pStyle w:val="Paragraphedeliste"/>
        <w:numPr>
          <w:ilvl w:val="0"/>
          <w:numId w:val="4"/>
        </w:numPr>
        <w:spacing w:after="80"/>
        <w:rPr>
          <w:lang w:val="fr-FR"/>
        </w:rPr>
      </w:pPr>
      <w:r w:rsidRPr="00285FB7">
        <w:rPr>
          <w:b/>
          <w:bCs/>
          <w:lang w:val="fr-FR"/>
        </w:rPr>
        <w:t>Prestations de services (Non-résidents)</w:t>
      </w:r>
    </w:p>
    <w:p w14:paraId="5F38FBBC" w14:textId="363C84C5" w:rsidR="00285FB7" w:rsidRPr="00285FB7" w:rsidRDefault="00285FB7" w:rsidP="00285FB7">
      <w:pPr>
        <w:pStyle w:val="Paragraphedeliste"/>
        <w:numPr>
          <w:ilvl w:val="0"/>
          <w:numId w:val="4"/>
        </w:numPr>
        <w:spacing w:after="80"/>
        <w:rPr>
          <w:lang w:val="fr-FR"/>
        </w:rPr>
      </w:pPr>
      <w:r w:rsidRPr="00285FB7">
        <w:rPr>
          <w:b/>
          <w:bCs/>
        </w:rPr>
        <w:t>Prestations de services (Résidents)</w:t>
      </w:r>
    </w:p>
    <w:p w14:paraId="7E8354F6" w14:textId="2A40D790" w:rsidR="00285FB7" w:rsidRPr="00285FB7" w:rsidRDefault="00285FB7" w:rsidP="00285FB7">
      <w:pPr>
        <w:pStyle w:val="Paragraphedeliste"/>
        <w:numPr>
          <w:ilvl w:val="0"/>
          <w:numId w:val="4"/>
        </w:numPr>
        <w:spacing w:after="80"/>
        <w:rPr>
          <w:lang w:val="fr-FR"/>
        </w:rPr>
      </w:pPr>
      <w:r>
        <w:rPr>
          <w:b/>
          <w:bCs/>
        </w:rPr>
        <w:t>Loyers</w:t>
      </w:r>
    </w:p>
    <w:p w14:paraId="2CFB5EF3" w14:textId="77777777" w:rsidR="004E767B" w:rsidRPr="00285FB7" w:rsidRDefault="00D17EB4">
      <w:pPr>
        <w:pStyle w:val="Paragraphedeliste"/>
        <w:numPr>
          <w:ilvl w:val="0"/>
          <w:numId w:val="2"/>
        </w:numPr>
        <w:spacing w:after="80"/>
        <w:rPr>
          <w:lang w:val="fr-FR"/>
        </w:rPr>
      </w:pPr>
      <w:r w:rsidRPr="00285FB7">
        <w:rPr>
          <w:lang w:val="fr-FR"/>
        </w:rPr>
        <w:t>C</w:t>
      </w:r>
      <w:r w:rsidRPr="00285FB7">
        <w:rPr>
          <w:lang w:val="fr-FR"/>
        </w:rPr>
        <w:t>harges non déductibles (amendes fiscales)</w:t>
      </w:r>
    </w:p>
    <w:p w14:paraId="63001A90" w14:textId="77777777" w:rsidR="004E767B" w:rsidRPr="00285FB7" w:rsidRDefault="00D17EB4">
      <w:pPr>
        <w:pStyle w:val="Titre1"/>
        <w:rPr>
          <w:lang w:val="fr-FR"/>
        </w:rPr>
      </w:pPr>
      <w:r w:rsidRPr="00285FB7">
        <w:rPr>
          <w:lang w:val="fr-FR"/>
        </w:rPr>
        <w:t>3. Architecture fonctionnelle cible</w:t>
      </w:r>
    </w:p>
    <w:p w14:paraId="1607F7AF" w14:textId="77777777" w:rsidR="004E767B" w:rsidRPr="00285FB7" w:rsidRDefault="00D17EB4">
      <w:pPr>
        <w:spacing w:after="160"/>
        <w:rPr>
          <w:lang w:val="fr-FR"/>
        </w:rPr>
      </w:pPr>
      <w:r w:rsidRPr="00285FB7">
        <w:rPr>
          <w:lang w:val="fr-FR"/>
        </w:rPr>
        <w:t>L'architecture repose sur quatre modules fonctionnels. Chaque module peut être présenté, pour la communication auprès des parties prenantes métier, comme un agent ayant un rôle d'auditeur junior spécialisé — sans que cela implique une architecture technique distribuée.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26"/>
      </w:tblGrid>
      <w:tr w:rsidR="004E767B" w14:paraId="299A2967" w14:textId="77777777">
        <w:tblPrEx>
          <w:tblCellMar>
            <w:top w:w="0" w:type="dxa"/>
            <w:bottom w:w="0" w:type="dxa"/>
          </w:tblCellMar>
        </w:tblPrEx>
        <w:tc>
          <w:tcPr>
            <w:tcW w:w="2400" w:type="dxa"/>
            <w:tcBorders>
              <w:top w:val="single" w:sz="2" w:space="0" w:color="D7DCE6"/>
              <w:left w:val="single" w:sz="2" w:space="0" w:color="D7DCE6"/>
              <w:bottom w:val="single" w:sz="2" w:space="0" w:color="D7DCE6"/>
              <w:right w:val="single" w:sz="2" w:space="0" w:color="D7DCE6"/>
            </w:tcBorders>
            <w:shd w:val="clear" w:color="auto" w:fill="1E2761"/>
            <w:tcMar>
              <w:top w:w="80" w:type="dxa"/>
              <w:left w:w="120" w:type="dxa"/>
              <w:bottom w:w="80" w:type="dxa"/>
              <w:right w:w="120" w:type="dxa"/>
            </w:tcMar>
            <w:vAlign w:val="center"/>
          </w:tcPr>
          <w:p w14:paraId="4AB5A13B" w14:textId="77777777" w:rsidR="004E767B" w:rsidRDefault="00D17EB4">
            <w:r>
              <w:rPr>
                <w:b/>
                <w:bCs/>
                <w:color w:val="FFFFFF"/>
                <w:sz w:val="19"/>
                <w:szCs w:val="19"/>
              </w:rPr>
              <w:t>Module technique</w:t>
            </w:r>
          </w:p>
        </w:tc>
        <w:tc>
          <w:tcPr>
            <w:tcW w:w="2400" w:type="dxa"/>
            <w:tcBorders>
              <w:top w:val="single" w:sz="2" w:space="0" w:color="D7DCE6"/>
              <w:left w:val="single" w:sz="2" w:space="0" w:color="D7DCE6"/>
              <w:bottom w:val="single" w:sz="2" w:space="0" w:color="D7DCE6"/>
              <w:right w:val="single" w:sz="2" w:space="0" w:color="D7DCE6"/>
            </w:tcBorders>
            <w:shd w:val="clear" w:color="auto" w:fill="1E2761"/>
            <w:tcMar>
              <w:top w:w="80" w:type="dxa"/>
              <w:left w:w="120" w:type="dxa"/>
              <w:bottom w:w="80" w:type="dxa"/>
              <w:right w:w="120" w:type="dxa"/>
            </w:tcMar>
            <w:vAlign w:val="center"/>
          </w:tcPr>
          <w:p w14:paraId="34F7382A" w14:textId="77777777" w:rsidR="004E767B" w:rsidRDefault="00D17EB4">
            <w:r>
              <w:rPr>
                <w:b/>
                <w:bCs/>
                <w:color w:val="FFFFFF"/>
                <w:sz w:val="19"/>
                <w:szCs w:val="19"/>
              </w:rPr>
              <w:t>Rôle métier (« agent »)</w:t>
            </w:r>
          </w:p>
        </w:tc>
        <w:tc>
          <w:tcPr>
            <w:tcW w:w="4226" w:type="dxa"/>
            <w:tcBorders>
              <w:top w:val="single" w:sz="2" w:space="0" w:color="D7DCE6"/>
              <w:left w:val="single" w:sz="2" w:space="0" w:color="D7DCE6"/>
              <w:bottom w:val="single" w:sz="2" w:space="0" w:color="D7DCE6"/>
              <w:right w:val="single" w:sz="2" w:space="0" w:color="D7DCE6"/>
            </w:tcBorders>
            <w:shd w:val="clear" w:color="auto" w:fill="1E2761"/>
            <w:tcMar>
              <w:top w:w="80" w:type="dxa"/>
              <w:left w:w="120" w:type="dxa"/>
              <w:bottom w:w="80" w:type="dxa"/>
              <w:right w:w="120" w:type="dxa"/>
            </w:tcMar>
            <w:vAlign w:val="center"/>
          </w:tcPr>
          <w:p w14:paraId="0B327409" w14:textId="77777777" w:rsidR="004E767B" w:rsidRDefault="00D17EB4">
            <w:r>
              <w:rPr>
                <w:b/>
                <w:bCs/>
                <w:color w:val="FFFFFF"/>
                <w:sz w:val="19"/>
                <w:szCs w:val="19"/>
              </w:rPr>
              <w:t>Fonction</w:t>
            </w:r>
          </w:p>
        </w:tc>
      </w:tr>
      <w:tr w:rsidR="004E767B" w:rsidRPr="00285FB7" w14:paraId="76A08178" w14:textId="77777777">
        <w:tblPrEx>
          <w:tblCellMar>
            <w:top w:w="0" w:type="dxa"/>
            <w:bottom w:w="0" w:type="dxa"/>
          </w:tblCellMar>
        </w:tblPrEx>
        <w:tc>
          <w:tcPr>
            <w:tcW w:w="2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1A332DBC" w14:textId="77777777" w:rsidR="004E767B" w:rsidRDefault="00D17EB4">
            <w:r>
              <w:rPr>
                <w:sz w:val="20"/>
                <w:szCs w:val="20"/>
              </w:rPr>
              <w:t>Base documentaire</w:t>
            </w:r>
          </w:p>
        </w:tc>
        <w:tc>
          <w:tcPr>
            <w:tcW w:w="2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386E4C8E" w14:textId="77777777" w:rsidR="004E767B" w:rsidRDefault="00D17EB4">
            <w:r>
              <w:rPr>
                <w:sz w:val="20"/>
                <w:szCs w:val="20"/>
              </w:rPr>
              <w:t>Agent Fiscal Expert</w:t>
            </w:r>
          </w:p>
        </w:tc>
        <w:tc>
          <w:tcPr>
            <w:tcW w:w="42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7A7BB375" w14:textId="77777777" w:rsidR="004E767B" w:rsidRPr="00285FB7" w:rsidRDefault="00D17EB4">
            <w:pPr>
              <w:rPr>
                <w:lang w:val="fr-FR"/>
              </w:rPr>
            </w:pPr>
            <w:r w:rsidRPr="00285FB7">
              <w:rPr>
                <w:sz w:val="20"/>
                <w:szCs w:val="20"/>
                <w:lang w:val="fr-FR"/>
              </w:rPr>
              <w:t>CGI par pays, doctrine, procédures internes — sert de référentiel au RAG.</w:t>
            </w:r>
          </w:p>
        </w:tc>
      </w:tr>
      <w:tr w:rsidR="004E767B" w:rsidRPr="00285FB7" w14:paraId="628E5673" w14:textId="77777777">
        <w:tblPrEx>
          <w:tblCellMar>
            <w:top w:w="0" w:type="dxa"/>
            <w:bottom w:w="0" w:type="dxa"/>
          </w:tblCellMar>
        </w:tblPrEx>
        <w:tc>
          <w:tcPr>
            <w:tcW w:w="2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0693BD14" w14:textId="77777777" w:rsidR="004E767B" w:rsidRDefault="00D17EB4">
            <w:r>
              <w:rPr>
                <w:sz w:val="20"/>
                <w:szCs w:val="20"/>
              </w:rPr>
              <w:t>Moteur de règles déterministe</w:t>
            </w:r>
          </w:p>
        </w:tc>
        <w:tc>
          <w:tcPr>
            <w:tcW w:w="2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6CC94BB4" w14:textId="77777777" w:rsidR="004E767B" w:rsidRPr="00285FB7" w:rsidRDefault="00D17EB4">
            <w:pPr>
              <w:rPr>
                <w:lang w:val="fr-FR"/>
              </w:rPr>
            </w:pPr>
            <w:r w:rsidRPr="00285FB7">
              <w:rPr>
                <w:sz w:val="20"/>
                <w:szCs w:val="20"/>
                <w:lang w:val="fr-FR"/>
              </w:rPr>
              <w:t>Agent Revue TVA / Agent Revue RAS</w:t>
            </w:r>
          </w:p>
        </w:tc>
        <w:tc>
          <w:tcPr>
            <w:tcW w:w="42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016A3560" w14:textId="18DB02B3" w:rsidR="004E767B" w:rsidRPr="00285FB7" w:rsidRDefault="00D17EB4">
            <w:pPr>
              <w:rPr>
                <w:lang w:val="fr-FR"/>
              </w:rPr>
            </w:pPr>
            <w:r w:rsidRPr="00285FB7">
              <w:rPr>
                <w:sz w:val="20"/>
                <w:szCs w:val="20"/>
                <w:lang w:val="fr-FR"/>
              </w:rPr>
              <w:t>Applique les contrôles</w:t>
            </w:r>
          </w:p>
        </w:tc>
      </w:tr>
      <w:tr w:rsidR="004E767B" w:rsidRPr="00285FB7" w14:paraId="20E2FFD9" w14:textId="77777777">
        <w:tblPrEx>
          <w:tblCellMar>
            <w:top w:w="0" w:type="dxa"/>
            <w:bottom w:w="0" w:type="dxa"/>
          </w:tblCellMar>
        </w:tblPrEx>
        <w:tc>
          <w:tcPr>
            <w:tcW w:w="2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7045B778" w14:textId="77777777" w:rsidR="004E767B" w:rsidRDefault="00D17EB4">
            <w:r>
              <w:rPr>
                <w:sz w:val="20"/>
                <w:szCs w:val="20"/>
              </w:rPr>
              <w:lastRenderedPageBreak/>
              <w:t>Couche LLM (Mistral, local)</w:t>
            </w:r>
          </w:p>
        </w:tc>
        <w:tc>
          <w:tcPr>
            <w:tcW w:w="2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3D9C65B6" w14:textId="77777777" w:rsidR="004E767B" w:rsidRDefault="00D17EB4">
            <w:r>
              <w:rPr>
                <w:sz w:val="20"/>
                <w:szCs w:val="20"/>
              </w:rPr>
              <w:t>Agent Rapport &amp; Recommandations</w:t>
            </w:r>
          </w:p>
        </w:tc>
        <w:tc>
          <w:tcPr>
            <w:tcW w:w="42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33F6DF58" w14:textId="77777777" w:rsidR="004E767B" w:rsidRPr="00285FB7" w:rsidRDefault="00D17EB4">
            <w:pPr>
              <w:rPr>
                <w:lang w:val="fr-FR"/>
              </w:rPr>
            </w:pPr>
            <w:r w:rsidRPr="00285FB7">
              <w:rPr>
                <w:sz w:val="20"/>
                <w:szCs w:val="20"/>
                <w:lang w:val="fr-FR"/>
              </w:rPr>
              <w:t>Rédige l'explication de chaque anomalie en citant la règle ou l'article concerné — jamais de décision.</w:t>
            </w:r>
          </w:p>
        </w:tc>
      </w:tr>
    </w:tbl>
    <w:p w14:paraId="3F7DE93F" w14:textId="77777777" w:rsidR="004E767B" w:rsidRPr="00285FB7" w:rsidRDefault="004E767B">
      <w:pPr>
        <w:spacing w:before="200" w:after="200"/>
        <w:rPr>
          <w:lang w:val="fr-FR"/>
        </w:rPr>
      </w:pPr>
    </w:p>
    <w:p w14:paraId="5C69DF51" w14:textId="77777777" w:rsidR="004E767B" w:rsidRPr="00285FB7" w:rsidRDefault="00D17EB4">
      <w:pPr>
        <w:spacing w:after="200"/>
        <w:rPr>
          <w:lang w:val="fr-FR"/>
        </w:rPr>
      </w:pPr>
      <w:r w:rsidRPr="00285FB7">
        <w:rPr>
          <w:i/>
          <w:iCs/>
          <w:color w:val="5B6477"/>
          <w:sz w:val="19"/>
          <w:szCs w:val="19"/>
          <w:lang w:val="fr-FR"/>
        </w:rPr>
        <w:t>La distinction « agents par rôle métier » plutôt que « agents par technologie » facilite la présentation à une DAF : chaque agent reflète une étape déjà connue d'une mission de revue fiscale classique.</w:t>
      </w:r>
    </w:p>
    <w:p w14:paraId="64A90090" w14:textId="51D661B9" w:rsidR="004E767B" w:rsidRPr="00285FB7" w:rsidRDefault="00D17EB4">
      <w:pPr>
        <w:pStyle w:val="Titre3"/>
        <w:rPr>
          <w:lang w:val="fr-FR"/>
        </w:rPr>
      </w:pPr>
      <w:r w:rsidRPr="00285FB7">
        <w:rPr>
          <w:lang w:val="fr-FR"/>
        </w:rPr>
        <w:t>3.1 Principe directeur : déterministe</w:t>
      </w:r>
    </w:p>
    <w:p w14:paraId="428781DC" w14:textId="25035749" w:rsidR="004E767B" w:rsidRPr="00285FB7" w:rsidRDefault="00D17EB4">
      <w:pPr>
        <w:spacing w:after="160"/>
        <w:rPr>
          <w:lang w:val="fr-FR"/>
        </w:rPr>
      </w:pPr>
      <w:r w:rsidRPr="00285FB7">
        <w:rPr>
          <w:lang w:val="fr-FR"/>
        </w:rPr>
        <w:t xml:space="preserve">La classification fiscale (conforme / non conforme) doit rester déterministe, car la loi fiscale est binaire. </w:t>
      </w:r>
      <w:r w:rsidRPr="00285FB7">
        <w:rPr>
          <w:lang w:val="fr-FR"/>
        </w:rPr>
        <w:t>le LLM n'interviennent qu'en complément, jamais en substitution du moteur de règles.</w:t>
      </w:r>
    </w:p>
    <w:p w14:paraId="638D9DD3" w14:textId="77777777" w:rsidR="004E767B" w:rsidRPr="00E6046B" w:rsidRDefault="00D17EB4">
      <w:pPr>
        <w:pStyle w:val="Titre1"/>
        <w:rPr>
          <w:color w:val="EE0000"/>
          <w:lang w:val="fr-FR"/>
        </w:rPr>
      </w:pPr>
      <w:r w:rsidRPr="00E6046B">
        <w:rPr>
          <w:color w:val="EE0000"/>
          <w:lang w:val="fr-FR"/>
        </w:rPr>
        <w:t xml:space="preserve">4. Catalogue de contrôles </w:t>
      </w:r>
      <w:commentRangeStart w:id="0"/>
      <w:r w:rsidRPr="00E6046B">
        <w:rPr>
          <w:color w:val="EE0000"/>
          <w:lang w:val="fr-FR"/>
        </w:rPr>
        <w:t>fiscaux</w:t>
      </w:r>
      <w:commentRangeEnd w:id="0"/>
      <w:r w:rsidR="00E6046B" w:rsidRPr="00E6046B">
        <w:rPr>
          <w:rStyle w:val="Marquedecommentaire"/>
          <w:color w:val="EE0000"/>
          <w:sz w:val="32"/>
          <w:szCs w:val="32"/>
          <w:lang w:val="fr-FR"/>
        </w:rPr>
        <w:commentReference w:id="0"/>
      </w:r>
    </w:p>
    <w:p w14:paraId="4AEC9DBD" w14:textId="77777777" w:rsidR="004E767B" w:rsidRPr="00285FB7" w:rsidRDefault="00D17EB4">
      <w:pPr>
        <w:spacing w:after="160"/>
        <w:rPr>
          <w:lang w:val="fr-FR"/>
        </w:rPr>
      </w:pPr>
      <w:r w:rsidRPr="00285FB7">
        <w:rPr>
          <w:lang w:val="fr-FR"/>
        </w:rPr>
        <w:t>Ce catalogue constitue le cœur du moteur de règles. Chaque contrôle doit être décliné par pays (CI / SN / CM) lors de l'implémentation, en associant l'article correspondant du CGI national applicable.</w:t>
      </w:r>
    </w:p>
    <w:p w14:paraId="726C3FB0" w14:textId="77777777" w:rsidR="004E767B" w:rsidRDefault="00D17EB4">
      <w:pPr>
        <w:pStyle w:val="Titre2"/>
      </w:pPr>
      <w:r>
        <w:t>4.1 Contrôles TVA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3400"/>
        <w:gridCol w:w="2026"/>
      </w:tblGrid>
      <w:tr w:rsidR="004E767B" w14:paraId="1CBFA843" w14:textId="77777777">
        <w:tblPrEx>
          <w:tblCellMar>
            <w:top w:w="0" w:type="dxa"/>
            <w:bottom w:w="0" w:type="dxa"/>
          </w:tblCellMar>
        </w:tblPrEx>
        <w:tc>
          <w:tcPr>
            <w:tcW w:w="700" w:type="dxa"/>
            <w:tcBorders>
              <w:top w:val="single" w:sz="2" w:space="0" w:color="D7DCE6"/>
              <w:left w:val="single" w:sz="2" w:space="0" w:color="D7DCE6"/>
              <w:bottom w:val="single" w:sz="2" w:space="0" w:color="D7DCE6"/>
              <w:right w:val="single" w:sz="2" w:space="0" w:color="D7DCE6"/>
            </w:tcBorders>
            <w:shd w:val="clear" w:color="auto" w:fill="1E2761"/>
            <w:tcMar>
              <w:top w:w="80" w:type="dxa"/>
              <w:left w:w="120" w:type="dxa"/>
              <w:bottom w:w="80" w:type="dxa"/>
              <w:right w:w="120" w:type="dxa"/>
            </w:tcMar>
            <w:vAlign w:val="center"/>
          </w:tcPr>
          <w:p w14:paraId="3DD42F96" w14:textId="77777777" w:rsidR="004E767B" w:rsidRDefault="00D17EB4">
            <w:r>
              <w:rPr>
                <w:b/>
                <w:bCs/>
                <w:color w:val="FFFFFF"/>
                <w:sz w:val="19"/>
                <w:szCs w:val="19"/>
              </w:rPr>
              <w:t>#</w:t>
            </w:r>
          </w:p>
        </w:tc>
        <w:tc>
          <w:tcPr>
            <w:tcW w:w="2900" w:type="dxa"/>
            <w:tcBorders>
              <w:top w:val="single" w:sz="2" w:space="0" w:color="D7DCE6"/>
              <w:left w:val="single" w:sz="2" w:space="0" w:color="D7DCE6"/>
              <w:bottom w:val="single" w:sz="2" w:space="0" w:color="D7DCE6"/>
              <w:right w:val="single" w:sz="2" w:space="0" w:color="D7DCE6"/>
            </w:tcBorders>
            <w:shd w:val="clear" w:color="auto" w:fill="1E2761"/>
            <w:tcMar>
              <w:top w:w="80" w:type="dxa"/>
              <w:left w:w="120" w:type="dxa"/>
              <w:bottom w:w="80" w:type="dxa"/>
              <w:right w:w="120" w:type="dxa"/>
            </w:tcMar>
            <w:vAlign w:val="center"/>
          </w:tcPr>
          <w:p w14:paraId="10324FA8" w14:textId="77777777" w:rsidR="004E767B" w:rsidRDefault="00D17EB4">
            <w:r>
              <w:rPr>
                <w:b/>
                <w:bCs/>
                <w:color w:val="FFFFFF"/>
                <w:sz w:val="19"/>
                <w:szCs w:val="19"/>
              </w:rPr>
              <w:t>Contrôle</w:t>
            </w:r>
          </w:p>
        </w:tc>
        <w:tc>
          <w:tcPr>
            <w:tcW w:w="3400" w:type="dxa"/>
            <w:tcBorders>
              <w:top w:val="single" w:sz="2" w:space="0" w:color="D7DCE6"/>
              <w:left w:val="single" w:sz="2" w:space="0" w:color="D7DCE6"/>
              <w:bottom w:val="single" w:sz="2" w:space="0" w:color="D7DCE6"/>
              <w:right w:val="single" w:sz="2" w:space="0" w:color="D7DCE6"/>
            </w:tcBorders>
            <w:shd w:val="clear" w:color="auto" w:fill="1E2761"/>
            <w:tcMar>
              <w:top w:w="80" w:type="dxa"/>
              <w:left w:w="120" w:type="dxa"/>
              <w:bottom w:w="80" w:type="dxa"/>
              <w:right w:w="120" w:type="dxa"/>
            </w:tcMar>
            <w:vAlign w:val="center"/>
          </w:tcPr>
          <w:p w14:paraId="7526A26A" w14:textId="77777777" w:rsidR="004E767B" w:rsidRDefault="00D17EB4">
            <w:r>
              <w:rPr>
                <w:b/>
                <w:bCs/>
                <w:color w:val="FFFFFF"/>
                <w:sz w:val="19"/>
                <w:szCs w:val="19"/>
              </w:rPr>
              <w:t>Logique de détection</w:t>
            </w:r>
          </w:p>
        </w:tc>
        <w:tc>
          <w:tcPr>
            <w:tcW w:w="2026" w:type="dxa"/>
            <w:tcBorders>
              <w:top w:val="single" w:sz="2" w:space="0" w:color="D7DCE6"/>
              <w:left w:val="single" w:sz="2" w:space="0" w:color="D7DCE6"/>
              <w:bottom w:val="single" w:sz="2" w:space="0" w:color="D7DCE6"/>
              <w:right w:val="single" w:sz="2" w:space="0" w:color="D7DCE6"/>
            </w:tcBorders>
            <w:shd w:val="clear" w:color="auto" w:fill="1E2761"/>
            <w:tcMar>
              <w:top w:w="80" w:type="dxa"/>
              <w:left w:w="120" w:type="dxa"/>
              <w:bottom w:w="80" w:type="dxa"/>
              <w:right w:w="120" w:type="dxa"/>
            </w:tcMar>
            <w:vAlign w:val="center"/>
          </w:tcPr>
          <w:p w14:paraId="6631BA29" w14:textId="77777777" w:rsidR="004E767B" w:rsidRDefault="00D17EB4">
            <w:r>
              <w:rPr>
                <w:b/>
                <w:bCs/>
                <w:color w:val="FFFFFF"/>
                <w:sz w:val="19"/>
                <w:szCs w:val="19"/>
              </w:rPr>
              <w:t>Risque par défaut</w:t>
            </w:r>
          </w:p>
        </w:tc>
      </w:tr>
      <w:tr w:rsidR="004E767B" w14:paraId="007B7D92" w14:textId="77777777">
        <w:tblPrEx>
          <w:tblCellMar>
            <w:top w:w="0" w:type="dxa"/>
            <w:bottom w:w="0" w:type="dxa"/>
          </w:tblCellMar>
        </w:tblPrEx>
        <w:tc>
          <w:tcPr>
            <w:tcW w:w="7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7FA6E55B" w14:textId="77777777" w:rsidR="004E767B" w:rsidRDefault="00D17EB4">
            <w:r>
              <w:rPr>
                <w:sz w:val="20"/>
                <w:szCs w:val="20"/>
              </w:rPr>
              <w:t>T1</w:t>
            </w:r>
          </w:p>
        </w:tc>
        <w:tc>
          <w:tcPr>
            <w:tcW w:w="29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40B9DE27" w14:textId="77777777" w:rsidR="004E767B" w:rsidRDefault="00D17EB4">
            <w:r>
              <w:rPr>
                <w:sz w:val="20"/>
                <w:szCs w:val="20"/>
              </w:rPr>
              <w:t>TVA déclarée = TVA comptabilisée</w:t>
            </w:r>
          </w:p>
        </w:tc>
        <w:tc>
          <w:tcPr>
            <w:tcW w:w="3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358C4F04" w14:textId="77777777" w:rsidR="004E767B" w:rsidRPr="00285FB7" w:rsidRDefault="00D17EB4">
            <w:pPr>
              <w:rPr>
                <w:lang w:val="fr-FR"/>
              </w:rPr>
            </w:pPr>
            <w:r w:rsidRPr="00285FB7">
              <w:rPr>
                <w:sz w:val="20"/>
                <w:szCs w:val="20"/>
                <w:lang w:val="fr-FR"/>
              </w:rPr>
              <w:t>Écart entre la TVA collectée déclarée et la TVA comptabilisée au GL.</w:t>
            </w:r>
          </w:p>
        </w:tc>
        <w:tc>
          <w:tcPr>
            <w:tcW w:w="20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62C025EA" w14:textId="77777777" w:rsidR="004E767B" w:rsidRDefault="00D17EB4">
            <w:r>
              <w:rPr>
                <w:b/>
                <w:bCs/>
                <w:color w:val="B91C1C"/>
                <w:sz w:val="20"/>
                <w:szCs w:val="20"/>
              </w:rPr>
              <w:t>Élevé</w:t>
            </w:r>
          </w:p>
        </w:tc>
      </w:tr>
      <w:tr w:rsidR="004E767B" w14:paraId="507A0314" w14:textId="77777777">
        <w:tblPrEx>
          <w:tblCellMar>
            <w:top w:w="0" w:type="dxa"/>
            <w:bottom w:w="0" w:type="dxa"/>
          </w:tblCellMar>
        </w:tblPrEx>
        <w:tc>
          <w:tcPr>
            <w:tcW w:w="7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1C8CEB4F" w14:textId="77777777" w:rsidR="004E767B" w:rsidRDefault="00D17EB4">
            <w:r>
              <w:rPr>
                <w:sz w:val="20"/>
                <w:szCs w:val="20"/>
              </w:rPr>
              <w:t>T2</w:t>
            </w:r>
          </w:p>
        </w:tc>
        <w:tc>
          <w:tcPr>
            <w:tcW w:w="29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652C020D" w14:textId="77777777" w:rsidR="004E767B" w:rsidRPr="00285FB7" w:rsidRDefault="00D17EB4">
            <w:pPr>
              <w:rPr>
                <w:lang w:val="fr-FR"/>
              </w:rPr>
            </w:pPr>
            <w:r w:rsidRPr="00285FB7">
              <w:rPr>
                <w:sz w:val="20"/>
                <w:szCs w:val="20"/>
                <w:lang w:val="fr-FR"/>
              </w:rPr>
              <w:t>TVA récupérée sans facture conforme</w:t>
            </w:r>
          </w:p>
        </w:tc>
        <w:tc>
          <w:tcPr>
            <w:tcW w:w="3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64579595" w14:textId="77777777" w:rsidR="004E767B" w:rsidRPr="00285FB7" w:rsidRDefault="00D17EB4">
            <w:pPr>
              <w:rPr>
                <w:lang w:val="fr-FR"/>
              </w:rPr>
            </w:pPr>
            <w:r w:rsidRPr="00285FB7">
              <w:rPr>
                <w:sz w:val="20"/>
                <w:szCs w:val="20"/>
                <w:lang w:val="fr-FR"/>
              </w:rPr>
              <w:t>TVA déduite en l'absence de facture justificative valide (mentions obligatoires).</w:t>
            </w:r>
          </w:p>
        </w:tc>
        <w:tc>
          <w:tcPr>
            <w:tcW w:w="20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0F126A05" w14:textId="77777777" w:rsidR="004E767B" w:rsidRDefault="00D17EB4">
            <w:r>
              <w:rPr>
                <w:b/>
                <w:bCs/>
                <w:color w:val="B91C1C"/>
                <w:sz w:val="20"/>
                <w:szCs w:val="20"/>
              </w:rPr>
              <w:t>Élevé</w:t>
            </w:r>
          </w:p>
        </w:tc>
      </w:tr>
      <w:tr w:rsidR="004E767B" w14:paraId="2A27A01E" w14:textId="77777777">
        <w:tblPrEx>
          <w:tblCellMar>
            <w:top w:w="0" w:type="dxa"/>
            <w:bottom w:w="0" w:type="dxa"/>
          </w:tblCellMar>
        </w:tblPrEx>
        <w:tc>
          <w:tcPr>
            <w:tcW w:w="7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73D4F81E" w14:textId="77777777" w:rsidR="004E767B" w:rsidRDefault="00D17EB4">
            <w:r>
              <w:rPr>
                <w:sz w:val="20"/>
                <w:szCs w:val="20"/>
              </w:rPr>
              <w:t>T3</w:t>
            </w:r>
          </w:p>
        </w:tc>
        <w:tc>
          <w:tcPr>
            <w:tcW w:w="29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4C3F9FA4" w14:textId="77777777" w:rsidR="004E767B" w:rsidRPr="00285FB7" w:rsidRDefault="00D17EB4">
            <w:pPr>
              <w:rPr>
                <w:lang w:val="fr-FR"/>
              </w:rPr>
            </w:pPr>
            <w:r w:rsidRPr="00285FB7">
              <w:rPr>
                <w:sz w:val="20"/>
                <w:szCs w:val="20"/>
                <w:lang w:val="fr-FR"/>
              </w:rPr>
              <w:t>TVA sur dépense non récupérable</w:t>
            </w:r>
          </w:p>
        </w:tc>
        <w:tc>
          <w:tcPr>
            <w:tcW w:w="3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3FDC4373" w14:textId="77777777" w:rsidR="004E767B" w:rsidRPr="00285FB7" w:rsidRDefault="00D17EB4">
            <w:pPr>
              <w:rPr>
                <w:lang w:val="fr-FR"/>
              </w:rPr>
            </w:pPr>
            <w:r w:rsidRPr="00285FB7">
              <w:rPr>
                <w:sz w:val="20"/>
                <w:szCs w:val="20"/>
                <w:lang w:val="fr-FR"/>
              </w:rPr>
              <w:t>TVA déduite sur une dépense non éligible (restaurant, véhicule de tourisme, amende, etc.).</w:t>
            </w:r>
          </w:p>
        </w:tc>
        <w:tc>
          <w:tcPr>
            <w:tcW w:w="20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001469B3" w14:textId="77777777" w:rsidR="004E767B" w:rsidRDefault="00D17EB4">
            <w:r>
              <w:rPr>
                <w:b/>
                <w:bCs/>
                <w:color w:val="B45309"/>
                <w:sz w:val="20"/>
                <w:szCs w:val="20"/>
              </w:rPr>
              <w:t>Moyen</w:t>
            </w:r>
          </w:p>
        </w:tc>
      </w:tr>
      <w:tr w:rsidR="004E767B" w14:paraId="343FC28E" w14:textId="77777777">
        <w:tblPrEx>
          <w:tblCellMar>
            <w:top w:w="0" w:type="dxa"/>
            <w:bottom w:w="0" w:type="dxa"/>
          </w:tblCellMar>
        </w:tblPrEx>
        <w:tc>
          <w:tcPr>
            <w:tcW w:w="7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4D365932" w14:textId="77777777" w:rsidR="004E767B" w:rsidRDefault="00D17EB4">
            <w:r>
              <w:rPr>
                <w:sz w:val="20"/>
                <w:szCs w:val="20"/>
              </w:rPr>
              <w:t>T4</w:t>
            </w:r>
          </w:p>
        </w:tc>
        <w:tc>
          <w:tcPr>
            <w:tcW w:w="29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3908A06A" w14:textId="77777777" w:rsidR="004E767B" w:rsidRPr="00285FB7" w:rsidRDefault="00D17EB4">
            <w:pPr>
              <w:rPr>
                <w:lang w:val="fr-FR"/>
              </w:rPr>
            </w:pPr>
            <w:r w:rsidRPr="00285FB7">
              <w:rPr>
                <w:sz w:val="20"/>
                <w:szCs w:val="20"/>
                <w:lang w:val="fr-FR"/>
              </w:rPr>
              <w:t>TVA déductible &gt; TVA des factures</w:t>
            </w:r>
          </w:p>
        </w:tc>
        <w:tc>
          <w:tcPr>
            <w:tcW w:w="3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1AFEE6C4" w14:textId="77777777" w:rsidR="004E767B" w:rsidRPr="00285FB7" w:rsidRDefault="00D17EB4">
            <w:pPr>
              <w:rPr>
                <w:lang w:val="fr-FR"/>
              </w:rPr>
            </w:pPr>
            <w:r w:rsidRPr="00285FB7">
              <w:rPr>
                <w:sz w:val="20"/>
                <w:szCs w:val="20"/>
                <w:lang w:val="fr-FR"/>
              </w:rPr>
              <w:t>Le montant de TVA déduit dépasse celui figurant sur les factures sources.</w:t>
            </w:r>
          </w:p>
        </w:tc>
        <w:tc>
          <w:tcPr>
            <w:tcW w:w="20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3FE7A207" w14:textId="77777777" w:rsidR="004E767B" w:rsidRDefault="00D17EB4">
            <w:r>
              <w:rPr>
                <w:b/>
                <w:bCs/>
                <w:color w:val="B91C1C"/>
                <w:sz w:val="20"/>
                <w:szCs w:val="20"/>
              </w:rPr>
              <w:t>Élevé</w:t>
            </w:r>
          </w:p>
        </w:tc>
      </w:tr>
      <w:tr w:rsidR="004E767B" w14:paraId="65DA9C04" w14:textId="77777777">
        <w:tblPrEx>
          <w:tblCellMar>
            <w:top w:w="0" w:type="dxa"/>
            <w:bottom w:w="0" w:type="dxa"/>
          </w:tblCellMar>
        </w:tblPrEx>
        <w:tc>
          <w:tcPr>
            <w:tcW w:w="7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0D179D87" w14:textId="77777777" w:rsidR="004E767B" w:rsidRDefault="00D17EB4">
            <w:r>
              <w:rPr>
                <w:sz w:val="20"/>
                <w:szCs w:val="20"/>
              </w:rPr>
              <w:t>T5</w:t>
            </w:r>
          </w:p>
        </w:tc>
        <w:tc>
          <w:tcPr>
            <w:tcW w:w="29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5E02F2A6" w14:textId="77777777" w:rsidR="004E767B" w:rsidRPr="00285FB7" w:rsidRDefault="00D17EB4">
            <w:pPr>
              <w:rPr>
                <w:lang w:val="fr-FR"/>
              </w:rPr>
            </w:pPr>
            <w:r w:rsidRPr="00285FB7">
              <w:rPr>
                <w:sz w:val="20"/>
                <w:szCs w:val="20"/>
                <w:lang w:val="fr-FR"/>
              </w:rPr>
              <w:t>Écart entre achats et TVA</w:t>
            </w:r>
          </w:p>
        </w:tc>
        <w:tc>
          <w:tcPr>
            <w:tcW w:w="3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3223A365" w14:textId="77777777" w:rsidR="004E767B" w:rsidRPr="00285FB7" w:rsidRDefault="00D17EB4">
            <w:pPr>
              <w:rPr>
                <w:lang w:val="fr-FR"/>
              </w:rPr>
            </w:pPr>
            <w:r w:rsidRPr="00285FB7">
              <w:rPr>
                <w:sz w:val="20"/>
                <w:szCs w:val="20"/>
                <w:lang w:val="fr-FR"/>
              </w:rPr>
              <w:t>Incohérence entre le volume d'achats comptabilisés et la TVA déductible correspondante.</w:t>
            </w:r>
          </w:p>
        </w:tc>
        <w:tc>
          <w:tcPr>
            <w:tcW w:w="20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1C403269" w14:textId="77777777" w:rsidR="004E767B" w:rsidRDefault="00D17EB4">
            <w:r>
              <w:rPr>
                <w:b/>
                <w:bCs/>
                <w:color w:val="B45309"/>
                <w:sz w:val="20"/>
                <w:szCs w:val="20"/>
              </w:rPr>
              <w:t>Moyen</w:t>
            </w:r>
          </w:p>
        </w:tc>
      </w:tr>
      <w:tr w:rsidR="004E767B" w14:paraId="07674E37" w14:textId="77777777">
        <w:tblPrEx>
          <w:tblCellMar>
            <w:top w:w="0" w:type="dxa"/>
            <w:bottom w:w="0" w:type="dxa"/>
          </w:tblCellMar>
        </w:tblPrEx>
        <w:tc>
          <w:tcPr>
            <w:tcW w:w="7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0EA0364C" w14:textId="77777777" w:rsidR="004E767B" w:rsidRDefault="00D17EB4">
            <w:r>
              <w:rPr>
                <w:sz w:val="20"/>
                <w:szCs w:val="20"/>
              </w:rPr>
              <w:t>T6</w:t>
            </w:r>
          </w:p>
        </w:tc>
        <w:tc>
          <w:tcPr>
            <w:tcW w:w="29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334FCA37" w14:textId="77777777" w:rsidR="004E767B" w:rsidRPr="00285FB7" w:rsidRDefault="00D17EB4">
            <w:pPr>
              <w:rPr>
                <w:lang w:val="fr-FR"/>
              </w:rPr>
            </w:pPr>
            <w:r w:rsidRPr="00285FB7">
              <w:rPr>
                <w:sz w:val="20"/>
                <w:szCs w:val="20"/>
                <w:lang w:val="fr-FR"/>
              </w:rPr>
              <w:t>Taux de TVA appliqué incorrect</w:t>
            </w:r>
          </w:p>
        </w:tc>
        <w:tc>
          <w:tcPr>
            <w:tcW w:w="3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170D7A32" w14:textId="77777777" w:rsidR="004E767B" w:rsidRPr="00285FB7" w:rsidRDefault="00D17EB4">
            <w:pPr>
              <w:rPr>
                <w:lang w:val="fr-FR"/>
              </w:rPr>
            </w:pPr>
            <w:r w:rsidRPr="00285FB7">
              <w:rPr>
                <w:sz w:val="20"/>
                <w:szCs w:val="20"/>
                <w:lang w:val="fr-FR"/>
              </w:rPr>
              <w:t>Le taux facturé ne correspond pas au taux légal en vigueur dans le pays.</w:t>
            </w:r>
          </w:p>
        </w:tc>
        <w:tc>
          <w:tcPr>
            <w:tcW w:w="20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7B159E50" w14:textId="77777777" w:rsidR="004E767B" w:rsidRDefault="00D17EB4">
            <w:r>
              <w:rPr>
                <w:b/>
                <w:bCs/>
                <w:color w:val="B45309"/>
                <w:sz w:val="20"/>
                <w:szCs w:val="20"/>
              </w:rPr>
              <w:t>Moyen</w:t>
            </w:r>
          </w:p>
        </w:tc>
      </w:tr>
    </w:tbl>
    <w:p w14:paraId="21303DDE" w14:textId="77777777" w:rsidR="004E767B" w:rsidRDefault="004E767B">
      <w:pPr>
        <w:spacing w:before="300" w:after="200"/>
      </w:pPr>
    </w:p>
    <w:p w14:paraId="52C235BB" w14:textId="77777777" w:rsidR="004E767B" w:rsidRPr="00285FB7" w:rsidRDefault="00D17EB4">
      <w:pPr>
        <w:pStyle w:val="Titre2"/>
        <w:rPr>
          <w:lang w:val="fr-FR"/>
        </w:rPr>
      </w:pPr>
      <w:r w:rsidRPr="00285FB7">
        <w:rPr>
          <w:lang w:val="fr-FR"/>
        </w:rPr>
        <w:t>4.2 Contrôles Retenue à la Source (RAS)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3400"/>
        <w:gridCol w:w="2026"/>
      </w:tblGrid>
      <w:tr w:rsidR="004E767B" w14:paraId="7504DED8" w14:textId="77777777">
        <w:tblPrEx>
          <w:tblCellMar>
            <w:top w:w="0" w:type="dxa"/>
            <w:bottom w:w="0" w:type="dxa"/>
          </w:tblCellMar>
        </w:tblPrEx>
        <w:tc>
          <w:tcPr>
            <w:tcW w:w="700" w:type="dxa"/>
            <w:tcBorders>
              <w:top w:val="single" w:sz="2" w:space="0" w:color="D7DCE6"/>
              <w:left w:val="single" w:sz="2" w:space="0" w:color="D7DCE6"/>
              <w:bottom w:val="single" w:sz="2" w:space="0" w:color="D7DCE6"/>
              <w:right w:val="single" w:sz="2" w:space="0" w:color="D7DCE6"/>
            </w:tcBorders>
            <w:shd w:val="clear" w:color="auto" w:fill="1E2761"/>
            <w:tcMar>
              <w:top w:w="80" w:type="dxa"/>
              <w:left w:w="120" w:type="dxa"/>
              <w:bottom w:w="80" w:type="dxa"/>
              <w:right w:w="120" w:type="dxa"/>
            </w:tcMar>
            <w:vAlign w:val="center"/>
          </w:tcPr>
          <w:p w14:paraId="7F9416BB" w14:textId="77777777" w:rsidR="004E767B" w:rsidRDefault="00D17EB4">
            <w:r>
              <w:rPr>
                <w:b/>
                <w:bCs/>
                <w:color w:val="FFFFFF"/>
                <w:sz w:val="19"/>
                <w:szCs w:val="19"/>
              </w:rPr>
              <w:t>#</w:t>
            </w:r>
          </w:p>
        </w:tc>
        <w:tc>
          <w:tcPr>
            <w:tcW w:w="2900" w:type="dxa"/>
            <w:tcBorders>
              <w:top w:val="single" w:sz="2" w:space="0" w:color="D7DCE6"/>
              <w:left w:val="single" w:sz="2" w:space="0" w:color="D7DCE6"/>
              <w:bottom w:val="single" w:sz="2" w:space="0" w:color="D7DCE6"/>
              <w:right w:val="single" w:sz="2" w:space="0" w:color="D7DCE6"/>
            </w:tcBorders>
            <w:shd w:val="clear" w:color="auto" w:fill="1E2761"/>
            <w:tcMar>
              <w:top w:w="80" w:type="dxa"/>
              <w:left w:w="120" w:type="dxa"/>
              <w:bottom w:w="80" w:type="dxa"/>
              <w:right w:w="120" w:type="dxa"/>
            </w:tcMar>
            <w:vAlign w:val="center"/>
          </w:tcPr>
          <w:p w14:paraId="6F38EEEE" w14:textId="77777777" w:rsidR="004E767B" w:rsidRDefault="00D17EB4">
            <w:r>
              <w:rPr>
                <w:b/>
                <w:bCs/>
                <w:color w:val="FFFFFF"/>
                <w:sz w:val="19"/>
                <w:szCs w:val="19"/>
              </w:rPr>
              <w:t>Contrôle</w:t>
            </w:r>
          </w:p>
        </w:tc>
        <w:tc>
          <w:tcPr>
            <w:tcW w:w="3400" w:type="dxa"/>
            <w:tcBorders>
              <w:top w:val="single" w:sz="2" w:space="0" w:color="D7DCE6"/>
              <w:left w:val="single" w:sz="2" w:space="0" w:color="D7DCE6"/>
              <w:bottom w:val="single" w:sz="2" w:space="0" w:color="D7DCE6"/>
              <w:right w:val="single" w:sz="2" w:space="0" w:color="D7DCE6"/>
            </w:tcBorders>
            <w:shd w:val="clear" w:color="auto" w:fill="1E2761"/>
            <w:tcMar>
              <w:top w:w="80" w:type="dxa"/>
              <w:left w:w="120" w:type="dxa"/>
              <w:bottom w:w="80" w:type="dxa"/>
              <w:right w:w="120" w:type="dxa"/>
            </w:tcMar>
            <w:vAlign w:val="center"/>
          </w:tcPr>
          <w:p w14:paraId="763308FC" w14:textId="77777777" w:rsidR="004E767B" w:rsidRDefault="00D17EB4">
            <w:r>
              <w:rPr>
                <w:b/>
                <w:bCs/>
                <w:color w:val="FFFFFF"/>
                <w:sz w:val="19"/>
                <w:szCs w:val="19"/>
              </w:rPr>
              <w:t>Logique de détection</w:t>
            </w:r>
          </w:p>
        </w:tc>
        <w:tc>
          <w:tcPr>
            <w:tcW w:w="2026" w:type="dxa"/>
            <w:tcBorders>
              <w:top w:val="single" w:sz="2" w:space="0" w:color="D7DCE6"/>
              <w:left w:val="single" w:sz="2" w:space="0" w:color="D7DCE6"/>
              <w:bottom w:val="single" w:sz="2" w:space="0" w:color="D7DCE6"/>
              <w:right w:val="single" w:sz="2" w:space="0" w:color="D7DCE6"/>
            </w:tcBorders>
            <w:shd w:val="clear" w:color="auto" w:fill="1E2761"/>
            <w:tcMar>
              <w:top w:w="80" w:type="dxa"/>
              <w:left w:w="120" w:type="dxa"/>
              <w:bottom w:w="80" w:type="dxa"/>
              <w:right w:w="120" w:type="dxa"/>
            </w:tcMar>
            <w:vAlign w:val="center"/>
          </w:tcPr>
          <w:p w14:paraId="1EEC9460" w14:textId="77777777" w:rsidR="004E767B" w:rsidRDefault="00D17EB4">
            <w:r>
              <w:rPr>
                <w:b/>
                <w:bCs/>
                <w:color w:val="FFFFFF"/>
                <w:sz w:val="19"/>
                <w:szCs w:val="19"/>
              </w:rPr>
              <w:t>Risque par défaut</w:t>
            </w:r>
          </w:p>
        </w:tc>
      </w:tr>
      <w:tr w:rsidR="004E767B" w14:paraId="04F0811F" w14:textId="77777777">
        <w:tblPrEx>
          <w:tblCellMar>
            <w:top w:w="0" w:type="dxa"/>
            <w:bottom w:w="0" w:type="dxa"/>
          </w:tblCellMar>
        </w:tblPrEx>
        <w:tc>
          <w:tcPr>
            <w:tcW w:w="7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56E5F89B" w14:textId="77777777" w:rsidR="004E767B" w:rsidRDefault="00D17EB4">
            <w:r>
              <w:rPr>
                <w:sz w:val="20"/>
                <w:szCs w:val="20"/>
              </w:rPr>
              <w:t>R1</w:t>
            </w:r>
          </w:p>
        </w:tc>
        <w:tc>
          <w:tcPr>
            <w:tcW w:w="29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4F7F4120" w14:textId="77777777" w:rsidR="004E767B" w:rsidRPr="00285FB7" w:rsidRDefault="00D17EB4">
            <w:pPr>
              <w:rPr>
                <w:lang w:val="fr-FR"/>
              </w:rPr>
            </w:pPr>
            <w:r w:rsidRPr="00285FB7">
              <w:rPr>
                <w:sz w:val="20"/>
                <w:szCs w:val="20"/>
                <w:lang w:val="fr-FR"/>
              </w:rPr>
              <w:t>Paiement soumis à RAS sans retenue</w:t>
            </w:r>
          </w:p>
        </w:tc>
        <w:tc>
          <w:tcPr>
            <w:tcW w:w="3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5FF25B43" w14:textId="77777777" w:rsidR="004E767B" w:rsidRPr="00285FB7" w:rsidRDefault="00D17EB4">
            <w:pPr>
              <w:rPr>
                <w:lang w:val="fr-FR"/>
              </w:rPr>
            </w:pPr>
            <w:r w:rsidRPr="00285FB7">
              <w:rPr>
                <w:sz w:val="20"/>
                <w:szCs w:val="20"/>
                <w:lang w:val="fr-FR"/>
              </w:rPr>
              <w:t>Un paiement entrant dans le champ de la RAS (honoraires, commissions...) ne présente aucune retenue comptabilisée.</w:t>
            </w:r>
          </w:p>
        </w:tc>
        <w:tc>
          <w:tcPr>
            <w:tcW w:w="20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6FA41618" w14:textId="77777777" w:rsidR="004E767B" w:rsidRDefault="00D17EB4">
            <w:r>
              <w:rPr>
                <w:b/>
                <w:bCs/>
                <w:color w:val="B91C1C"/>
                <w:sz w:val="20"/>
                <w:szCs w:val="20"/>
              </w:rPr>
              <w:t>Élevé</w:t>
            </w:r>
          </w:p>
        </w:tc>
      </w:tr>
      <w:tr w:rsidR="004E767B" w14:paraId="5316EFB7" w14:textId="77777777">
        <w:tblPrEx>
          <w:tblCellMar>
            <w:top w:w="0" w:type="dxa"/>
            <w:bottom w:w="0" w:type="dxa"/>
          </w:tblCellMar>
        </w:tblPrEx>
        <w:tc>
          <w:tcPr>
            <w:tcW w:w="7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1996330B" w14:textId="77777777" w:rsidR="004E767B" w:rsidRDefault="00D17EB4">
            <w:r>
              <w:rPr>
                <w:sz w:val="20"/>
                <w:szCs w:val="20"/>
              </w:rPr>
              <w:lastRenderedPageBreak/>
              <w:t>R2</w:t>
            </w:r>
          </w:p>
        </w:tc>
        <w:tc>
          <w:tcPr>
            <w:tcW w:w="29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3230E9FD" w14:textId="77777777" w:rsidR="004E767B" w:rsidRDefault="00D17EB4">
            <w:r>
              <w:rPr>
                <w:sz w:val="20"/>
                <w:szCs w:val="20"/>
              </w:rPr>
              <w:t>Taux de RAS incorrect</w:t>
            </w:r>
          </w:p>
        </w:tc>
        <w:tc>
          <w:tcPr>
            <w:tcW w:w="3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198D6335" w14:textId="77777777" w:rsidR="004E767B" w:rsidRPr="00285FB7" w:rsidRDefault="00D17EB4">
            <w:pPr>
              <w:rPr>
                <w:lang w:val="fr-FR"/>
              </w:rPr>
            </w:pPr>
            <w:r w:rsidRPr="00285FB7">
              <w:rPr>
                <w:sz w:val="20"/>
                <w:szCs w:val="20"/>
                <w:lang w:val="fr-FR"/>
              </w:rPr>
              <w:t>Le taux appliqué ne correspond pas au taux légal selon la nature de la prestation.</w:t>
            </w:r>
          </w:p>
        </w:tc>
        <w:tc>
          <w:tcPr>
            <w:tcW w:w="20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6023A8FE" w14:textId="77777777" w:rsidR="004E767B" w:rsidRDefault="00D17EB4">
            <w:r>
              <w:rPr>
                <w:b/>
                <w:bCs/>
                <w:color w:val="B45309"/>
                <w:sz w:val="20"/>
                <w:szCs w:val="20"/>
              </w:rPr>
              <w:t>Moyen</w:t>
            </w:r>
          </w:p>
        </w:tc>
      </w:tr>
      <w:tr w:rsidR="004E767B" w14:paraId="035508DA" w14:textId="77777777">
        <w:tblPrEx>
          <w:tblCellMar>
            <w:top w:w="0" w:type="dxa"/>
            <w:bottom w:w="0" w:type="dxa"/>
          </w:tblCellMar>
        </w:tblPrEx>
        <w:tc>
          <w:tcPr>
            <w:tcW w:w="7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31F71859" w14:textId="77777777" w:rsidR="004E767B" w:rsidRDefault="00D17EB4">
            <w:r>
              <w:rPr>
                <w:sz w:val="20"/>
                <w:szCs w:val="20"/>
              </w:rPr>
              <w:t>R3</w:t>
            </w:r>
          </w:p>
        </w:tc>
        <w:tc>
          <w:tcPr>
            <w:tcW w:w="29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6F6DD224" w14:textId="77777777" w:rsidR="004E767B" w:rsidRPr="00285FB7" w:rsidRDefault="00D17EB4">
            <w:pPr>
              <w:rPr>
                <w:lang w:val="fr-FR"/>
              </w:rPr>
            </w:pPr>
            <w:r w:rsidRPr="00285FB7">
              <w:rPr>
                <w:sz w:val="20"/>
                <w:szCs w:val="20"/>
                <w:lang w:val="fr-FR"/>
              </w:rPr>
              <w:t>Prestataire étranger sans contrôle de convention fiscale</w:t>
            </w:r>
          </w:p>
        </w:tc>
        <w:tc>
          <w:tcPr>
            <w:tcW w:w="3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632397AD" w14:textId="77777777" w:rsidR="004E767B" w:rsidRPr="00285FB7" w:rsidRDefault="00D17EB4">
            <w:pPr>
              <w:rPr>
                <w:lang w:val="fr-FR"/>
              </w:rPr>
            </w:pPr>
            <w:r w:rsidRPr="00285FB7">
              <w:rPr>
                <w:sz w:val="20"/>
                <w:szCs w:val="20"/>
                <w:lang w:val="fr-FR"/>
              </w:rPr>
              <w:t>Paiement à un prestataire étranger sans vérification de l'existence d'une convention de non double imposition.</w:t>
            </w:r>
          </w:p>
        </w:tc>
        <w:tc>
          <w:tcPr>
            <w:tcW w:w="20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677EB790" w14:textId="77777777" w:rsidR="004E767B" w:rsidRDefault="00D17EB4">
            <w:r>
              <w:rPr>
                <w:b/>
                <w:bCs/>
                <w:color w:val="B91C1C"/>
                <w:sz w:val="20"/>
                <w:szCs w:val="20"/>
              </w:rPr>
              <w:t>Élevé</w:t>
            </w:r>
          </w:p>
        </w:tc>
      </w:tr>
      <w:tr w:rsidR="004E767B" w14:paraId="7B6265DB" w14:textId="77777777">
        <w:tblPrEx>
          <w:tblCellMar>
            <w:top w:w="0" w:type="dxa"/>
            <w:bottom w:w="0" w:type="dxa"/>
          </w:tblCellMar>
        </w:tblPrEx>
        <w:tc>
          <w:tcPr>
            <w:tcW w:w="7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70413822" w14:textId="77777777" w:rsidR="004E767B" w:rsidRDefault="00D17EB4">
            <w:r>
              <w:rPr>
                <w:sz w:val="20"/>
                <w:szCs w:val="20"/>
              </w:rPr>
              <w:t>R4</w:t>
            </w:r>
          </w:p>
        </w:tc>
        <w:tc>
          <w:tcPr>
            <w:tcW w:w="29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11135F40" w14:textId="77777777" w:rsidR="004E767B" w:rsidRDefault="00D17EB4">
            <w:r>
              <w:rPr>
                <w:sz w:val="20"/>
                <w:szCs w:val="20"/>
              </w:rPr>
              <w:t>RAS déclarée ≠ RAS comptabilisée</w:t>
            </w:r>
          </w:p>
        </w:tc>
        <w:tc>
          <w:tcPr>
            <w:tcW w:w="3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2F39DE36" w14:textId="77777777" w:rsidR="004E767B" w:rsidRPr="00285FB7" w:rsidRDefault="00D17EB4">
            <w:pPr>
              <w:rPr>
                <w:lang w:val="fr-FR"/>
              </w:rPr>
            </w:pPr>
            <w:r w:rsidRPr="00285FB7">
              <w:rPr>
                <w:sz w:val="20"/>
                <w:szCs w:val="20"/>
                <w:lang w:val="fr-FR"/>
              </w:rPr>
              <w:t>Écart entre le montant de RAS déclaré et celui comptabilisé au GL.</w:t>
            </w:r>
          </w:p>
        </w:tc>
        <w:tc>
          <w:tcPr>
            <w:tcW w:w="20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5A0E8DCA" w14:textId="77777777" w:rsidR="004E767B" w:rsidRDefault="00D17EB4">
            <w:r>
              <w:rPr>
                <w:b/>
                <w:bCs/>
                <w:color w:val="B91C1C"/>
                <w:sz w:val="20"/>
                <w:szCs w:val="20"/>
              </w:rPr>
              <w:t>Élevé</w:t>
            </w:r>
          </w:p>
        </w:tc>
      </w:tr>
      <w:tr w:rsidR="004E767B" w14:paraId="38A30EBF" w14:textId="77777777">
        <w:tblPrEx>
          <w:tblCellMar>
            <w:top w:w="0" w:type="dxa"/>
            <w:bottom w:w="0" w:type="dxa"/>
          </w:tblCellMar>
        </w:tblPrEx>
        <w:tc>
          <w:tcPr>
            <w:tcW w:w="7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08EA7CD8" w14:textId="77777777" w:rsidR="004E767B" w:rsidRDefault="00D17EB4">
            <w:r>
              <w:rPr>
                <w:sz w:val="20"/>
                <w:szCs w:val="20"/>
              </w:rPr>
              <w:t>R5</w:t>
            </w:r>
          </w:p>
        </w:tc>
        <w:tc>
          <w:tcPr>
            <w:tcW w:w="29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26C42EBB" w14:textId="77777777" w:rsidR="004E767B" w:rsidRDefault="00D17EB4">
            <w:r>
              <w:rPr>
                <w:sz w:val="20"/>
                <w:szCs w:val="20"/>
              </w:rPr>
              <w:t>Paiement sans justificatif contractuel</w:t>
            </w:r>
          </w:p>
        </w:tc>
        <w:tc>
          <w:tcPr>
            <w:tcW w:w="3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4F41819E" w14:textId="77777777" w:rsidR="004E767B" w:rsidRPr="00285FB7" w:rsidRDefault="00D17EB4">
            <w:pPr>
              <w:rPr>
                <w:lang w:val="fr-FR"/>
              </w:rPr>
            </w:pPr>
            <w:r w:rsidRPr="00285FB7">
              <w:rPr>
                <w:sz w:val="20"/>
                <w:szCs w:val="20"/>
                <w:lang w:val="fr-FR"/>
              </w:rPr>
              <w:t>Paiement significatif sans contrat ni bon de commande associé.</w:t>
            </w:r>
          </w:p>
        </w:tc>
        <w:tc>
          <w:tcPr>
            <w:tcW w:w="20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1F166164" w14:textId="77777777" w:rsidR="004E767B" w:rsidRDefault="00D17EB4">
            <w:r>
              <w:rPr>
                <w:b/>
                <w:bCs/>
                <w:color w:val="B45309"/>
                <w:sz w:val="20"/>
                <w:szCs w:val="20"/>
              </w:rPr>
              <w:t>Moyen</w:t>
            </w:r>
          </w:p>
        </w:tc>
      </w:tr>
    </w:tbl>
    <w:p w14:paraId="627991EC" w14:textId="77777777" w:rsidR="004E767B" w:rsidRDefault="004E767B">
      <w:pPr>
        <w:spacing w:before="200" w:after="200"/>
      </w:pPr>
    </w:p>
    <w:p w14:paraId="6CDFF116" w14:textId="77777777" w:rsidR="004E767B" w:rsidRPr="00285FB7" w:rsidRDefault="00D17EB4">
      <w:pPr>
        <w:spacing w:after="200"/>
        <w:rPr>
          <w:lang w:val="fr-FR"/>
        </w:rPr>
      </w:pPr>
      <w:r w:rsidRPr="00285FB7">
        <w:rPr>
          <w:i/>
          <w:iCs/>
          <w:color w:val="5B6477"/>
          <w:sz w:val="19"/>
          <w:szCs w:val="19"/>
          <w:lang w:val="fr-FR"/>
        </w:rPr>
        <w:t>Niveaux de risque par défaut, à ajuster lors du calibrage avec le RF et le Service de Contrôle et de Normalisation des Flux.</w:t>
      </w:r>
    </w:p>
    <w:p w14:paraId="6630B77A" w14:textId="77777777" w:rsidR="004E767B" w:rsidRDefault="00D17EB4">
      <w:pPr>
        <w:pStyle w:val="Titre1"/>
      </w:pPr>
      <w:r>
        <w:t>5. Données nécessaires (inputs)</w:t>
      </w:r>
    </w:p>
    <w:p w14:paraId="75FB9F1B" w14:textId="6F7E0FDB" w:rsidR="004E767B" w:rsidRPr="00285FB7" w:rsidRDefault="00D17EB4">
      <w:pPr>
        <w:pStyle w:val="Paragraphedeliste"/>
        <w:numPr>
          <w:ilvl w:val="0"/>
          <w:numId w:val="2"/>
        </w:numPr>
        <w:spacing w:after="80"/>
        <w:rPr>
          <w:lang w:val="fr-FR"/>
        </w:rPr>
      </w:pPr>
      <w:r w:rsidRPr="00285FB7">
        <w:rPr>
          <w:lang w:val="fr-FR"/>
        </w:rPr>
        <w:t xml:space="preserve">Grand Livre </w:t>
      </w:r>
      <w:r w:rsidR="00285FB7">
        <w:rPr>
          <w:lang w:val="fr-FR"/>
        </w:rPr>
        <w:t>des comptes</w:t>
      </w:r>
    </w:p>
    <w:p w14:paraId="016A7AAD" w14:textId="2EDA24FD" w:rsidR="004E767B" w:rsidRPr="00285FB7" w:rsidRDefault="00D17EB4" w:rsidP="00285FB7">
      <w:pPr>
        <w:pStyle w:val="Paragraphedeliste"/>
        <w:numPr>
          <w:ilvl w:val="0"/>
          <w:numId w:val="2"/>
        </w:numPr>
        <w:spacing w:after="80"/>
        <w:rPr>
          <w:lang w:val="fr-FR"/>
        </w:rPr>
      </w:pPr>
      <w:r w:rsidRPr="00285FB7">
        <w:rPr>
          <w:lang w:val="fr-FR"/>
        </w:rPr>
        <w:t>Référentiel fiscal par pays : taux de TVA et de RAS, calendrier des échéances</w:t>
      </w:r>
    </w:p>
    <w:p w14:paraId="73FD1B45" w14:textId="60C29BE4" w:rsidR="004E767B" w:rsidRPr="00285FB7" w:rsidRDefault="00D17EB4" w:rsidP="00285FB7">
      <w:pPr>
        <w:pStyle w:val="Paragraphedeliste"/>
        <w:numPr>
          <w:ilvl w:val="0"/>
          <w:numId w:val="2"/>
        </w:numPr>
        <w:spacing w:after="80"/>
      </w:pPr>
      <w:r>
        <w:t>Mapping comptes comptables → catégories fiscales</w:t>
      </w:r>
    </w:p>
    <w:p w14:paraId="500C1496" w14:textId="77777777" w:rsidR="004E767B" w:rsidRPr="00285FB7" w:rsidRDefault="00D17EB4">
      <w:pPr>
        <w:pStyle w:val="Paragraphedeliste"/>
        <w:numPr>
          <w:ilvl w:val="0"/>
          <w:numId w:val="2"/>
        </w:numPr>
        <w:spacing w:after="80"/>
        <w:rPr>
          <w:lang w:val="fr-FR"/>
        </w:rPr>
      </w:pPr>
      <w:r w:rsidRPr="00285FB7">
        <w:rPr>
          <w:lang w:val="fr-FR"/>
        </w:rPr>
        <w:t>T</w:t>
      </w:r>
      <w:r w:rsidRPr="00285FB7">
        <w:rPr>
          <w:lang w:val="fr-FR"/>
        </w:rPr>
        <w:t>extes réglementaires (CGI par pays, doctrine, procédures internes) pour la base documentaire</w:t>
      </w:r>
    </w:p>
    <w:p w14:paraId="7A7E9555" w14:textId="77777777" w:rsidR="004E767B" w:rsidRPr="00285FB7" w:rsidRDefault="00D17EB4">
      <w:pPr>
        <w:pStyle w:val="Titre1"/>
        <w:rPr>
          <w:lang w:val="fr-FR"/>
        </w:rPr>
      </w:pPr>
      <w:r w:rsidRPr="00285FB7">
        <w:rPr>
          <w:lang w:val="fr-FR"/>
        </w:rPr>
        <w:t>6. Architecture technique</w:t>
      </w:r>
    </w:p>
    <w:p w14:paraId="6533CBB9" w14:textId="77777777" w:rsidR="004E767B" w:rsidRPr="00285FB7" w:rsidRDefault="00D17EB4">
      <w:pPr>
        <w:spacing w:after="160"/>
        <w:rPr>
          <w:lang w:val="fr-FR"/>
        </w:rPr>
      </w:pPr>
      <w:r w:rsidRPr="00285FB7">
        <w:rPr>
          <w:lang w:val="fr-FR"/>
        </w:rPr>
        <w:t>La stack retenue privilégie la simplicité et la confidentialité des données, sans dépendance à une orchestration multi-agents distribuée : le pipeline de contrôle est linéaire et ne justifie pas cette complexité supplémentaire à ce stade.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E767B" w14:paraId="11840C1E" w14:textId="77777777">
        <w:tblPrEx>
          <w:tblCellMar>
            <w:top w:w="0" w:type="dxa"/>
            <w:bottom w:w="0" w:type="dxa"/>
          </w:tblCellMar>
        </w:tblPrEx>
        <w:tc>
          <w:tcPr>
            <w:tcW w:w="2400" w:type="dxa"/>
            <w:tcBorders>
              <w:top w:val="single" w:sz="2" w:space="0" w:color="D7DCE6"/>
              <w:left w:val="single" w:sz="2" w:space="0" w:color="D7DCE6"/>
              <w:bottom w:val="single" w:sz="2" w:space="0" w:color="D7DCE6"/>
              <w:right w:val="single" w:sz="2" w:space="0" w:color="D7DCE6"/>
            </w:tcBorders>
            <w:shd w:val="clear" w:color="auto" w:fill="1E2761"/>
            <w:tcMar>
              <w:top w:w="80" w:type="dxa"/>
              <w:left w:w="120" w:type="dxa"/>
              <w:bottom w:w="80" w:type="dxa"/>
              <w:right w:w="120" w:type="dxa"/>
            </w:tcMar>
            <w:vAlign w:val="center"/>
          </w:tcPr>
          <w:p w14:paraId="0F1B5D24" w14:textId="77777777" w:rsidR="004E767B" w:rsidRDefault="00D17EB4">
            <w:r>
              <w:rPr>
                <w:b/>
                <w:bCs/>
                <w:color w:val="FFFFFF"/>
                <w:sz w:val="19"/>
                <w:szCs w:val="19"/>
              </w:rPr>
              <w:t>Composant</w:t>
            </w:r>
          </w:p>
        </w:tc>
        <w:tc>
          <w:tcPr>
            <w:tcW w:w="6626" w:type="dxa"/>
            <w:tcBorders>
              <w:top w:val="single" w:sz="2" w:space="0" w:color="D7DCE6"/>
              <w:left w:val="single" w:sz="2" w:space="0" w:color="D7DCE6"/>
              <w:bottom w:val="single" w:sz="2" w:space="0" w:color="D7DCE6"/>
              <w:right w:val="single" w:sz="2" w:space="0" w:color="D7DCE6"/>
            </w:tcBorders>
            <w:shd w:val="clear" w:color="auto" w:fill="1E2761"/>
            <w:tcMar>
              <w:top w:w="80" w:type="dxa"/>
              <w:left w:w="120" w:type="dxa"/>
              <w:bottom w:w="80" w:type="dxa"/>
              <w:right w:w="120" w:type="dxa"/>
            </w:tcMar>
            <w:vAlign w:val="center"/>
          </w:tcPr>
          <w:p w14:paraId="27D0D4E5" w14:textId="77777777" w:rsidR="004E767B" w:rsidRDefault="00D17EB4">
            <w:r>
              <w:rPr>
                <w:b/>
                <w:bCs/>
                <w:color w:val="FFFFFF"/>
                <w:sz w:val="19"/>
                <w:szCs w:val="19"/>
              </w:rPr>
              <w:t>Choix retenu</w:t>
            </w:r>
          </w:p>
        </w:tc>
      </w:tr>
      <w:tr w:rsidR="004E767B" w:rsidRPr="00285FB7" w14:paraId="152E6845" w14:textId="77777777">
        <w:tblPrEx>
          <w:tblCellMar>
            <w:top w:w="0" w:type="dxa"/>
            <w:bottom w:w="0" w:type="dxa"/>
          </w:tblCellMar>
        </w:tblPrEx>
        <w:tc>
          <w:tcPr>
            <w:tcW w:w="2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11D193D9" w14:textId="77777777" w:rsidR="004E767B" w:rsidRDefault="00D17EB4">
            <w:r>
              <w:rPr>
                <w:sz w:val="20"/>
                <w:szCs w:val="20"/>
              </w:rPr>
              <w:t>Prototype / POC</w:t>
            </w:r>
          </w:p>
        </w:tc>
        <w:tc>
          <w:tcPr>
            <w:tcW w:w="66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3021A11B" w14:textId="51F7205F" w:rsidR="004E767B" w:rsidRPr="00285FB7" w:rsidRDefault="00D17EB4">
            <w:pPr>
              <w:rPr>
                <w:lang w:val="fr-FR"/>
              </w:rPr>
            </w:pPr>
            <w:r w:rsidRPr="00285FB7">
              <w:rPr>
                <w:sz w:val="20"/>
                <w:szCs w:val="20"/>
                <w:lang w:val="fr-FR"/>
              </w:rPr>
              <w:t xml:space="preserve">Python + Pandas (moteur de règles) + </w:t>
            </w:r>
            <w:r w:rsidR="00285FB7">
              <w:rPr>
                <w:sz w:val="20"/>
                <w:szCs w:val="20"/>
                <w:lang w:val="fr-FR"/>
              </w:rPr>
              <w:t>React</w:t>
            </w:r>
            <w:r w:rsidRPr="00285FB7">
              <w:rPr>
                <w:sz w:val="20"/>
                <w:szCs w:val="20"/>
                <w:lang w:val="fr-FR"/>
              </w:rPr>
              <w:t xml:space="preserve"> (interface)</w:t>
            </w:r>
          </w:p>
        </w:tc>
      </w:tr>
      <w:tr w:rsidR="004E767B" w14:paraId="0B54580E" w14:textId="77777777">
        <w:tblPrEx>
          <w:tblCellMar>
            <w:top w:w="0" w:type="dxa"/>
            <w:bottom w:w="0" w:type="dxa"/>
          </w:tblCellMar>
        </w:tblPrEx>
        <w:tc>
          <w:tcPr>
            <w:tcW w:w="2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3062E247" w14:textId="77777777" w:rsidR="004E767B" w:rsidRDefault="00D17EB4">
            <w:r>
              <w:rPr>
                <w:sz w:val="20"/>
                <w:szCs w:val="20"/>
              </w:rPr>
              <w:t>Backend cible</w:t>
            </w:r>
          </w:p>
        </w:tc>
        <w:tc>
          <w:tcPr>
            <w:tcW w:w="66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5C8F9502" w14:textId="77777777" w:rsidR="004E767B" w:rsidRDefault="00D17EB4">
            <w:r>
              <w:rPr>
                <w:sz w:val="20"/>
                <w:szCs w:val="20"/>
              </w:rPr>
              <w:t>Python FastAPI</w:t>
            </w:r>
          </w:p>
        </w:tc>
      </w:tr>
      <w:tr w:rsidR="004E767B" w14:paraId="04D3D60B" w14:textId="77777777">
        <w:tblPrEx>
          <w:tblCellMar>
            <w:top w:w="0" w:type="dxa"/>
            <w:bottom w:w="0" w:type="dxa"/>
          </w:tblCellMar>
        </w:tblPrEx>
        <w:tc>
          <w:tcPr>
            <w:tcW w:w="2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3DC2BAE5" w14:textId="77777777" w:rsidR="004E767B" w:rsidRDefault="00D17EB4">
            <w:r>
              <w:rPr>
                <w:sz w:val="20"/>
                <w:szCs w:val="20"/>
              </w:rPr>
              <w:t>Frontend cible</w:t>
            </w:r>
          </w:p>
        </w:tc>
        <w:tc>
          <w:tcPr>
            <w:tcW w:w="66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7288CAAA" w14:textId="77777777" w:rsidR="004E767B" w:rsidRDefault="00D17EB4">
            <w:r>
              <w:rPr>
                <w:sz w:val="20"/>
                <w:szCs w:val="20"/>
              </w:rPr>
              <w:t>React + Tailwind CSS</w:t>
            </w:r>
          </w:p>
        </w:tc>
      </w:tr>
      <w:tr w:rsidR="004E767B" w14:paraId="415DF763" w14:textId="77777777">
        <w:tblPrEx>
          <w:tblCellMar>
            <w:top w:w="0" w:type="dxa"/>
            <w:bottom w:w="0" w:type="dxa"/>
          </w:tblCellMar>
        </w:tblPrEx>
        <w:tc>
          <w:tcPr>
            <w:tcW w:w="2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4DC72841" w14:textId="77777777" w:rsidR="004E767B" w:rsidRDefault="00D17EB4">
            <w:r>
              <w:rPr>
                <w:sz w:val="20"/>
                <w:szCs w:val="20"/>
              </w:rPr>
              <w:t>Base relationnelle</w:t>
            </w:r>
          </w:p>
        </w:tc>
        <w:tc>
          <w:tcPr>
            <w:tcW w:w="66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6C6031A8" w14:textId="77777777" w:rsidR="004E767B" w:rsidRDefault="00D17EB4">
            <w:r>
              <w:rPr>
                <w:sz w:val="20"/>
                <w:szCs w:val="20"/>
              </w:rPr>
              <w:t>PostgreSQL</w:t>
            </w:r>
          </w:p>
        </w:tc>
      </w:tr>
      <w:tr w:rsidR="004E767B" w14:paraId="08E880F6" w14:textId="77777777">
        <w:tblPrEx>
          <w:tblCellMar>
            <w:top w:w="0" w:type="dxa"/>
            <w:bottom w:w="0" w:type="dxa"/>
          </w:tblCellMar>
        </w:tblPrEx>
        <w:tc>
          <w:tcPr>
            <w:tcW w:w="2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4CE86675" w14:textId="77777777" w:rsidR="004E767B" w:rsidRDefault="00D17EB4">
            <w:r>
              <w:rPr>
                <w:sz w:val="20"/>
                <w:szCs w:val="20"/>
              </w:rPr>
              <w:t>Recherche documentaire (RAG)</w:t>
            </w:r>
          </w:p>
        </w:tc>
        <w:tc>
          <w:tcPr>
            <w:tcW w:w="66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0AAF7A03" w14:textId="77777777" w:rsidR="004E767B" w:rsidRDefault="00D17EB4">
            <w:r>
              <w:rPr>
                <w:sz w:val="20"/>
                <w:szCs w:val="20"/>
              </w:rPr>
              <w:t>ChromaDB</w:t>
            </w:r>
          </w:p>
        </w:tc>
      </w:tr>
      <w:tr w:rsidR="004E767B" w:rsidRPr="00285FB7" w14:paraId="3DCEF524" w14:textId="77777777">
        <w:tblPrEx>
          <w:tblCellMar>
            <w:top w:w="0" w:type="dxa"/>
            <w:bottom w:w="0" w:type="dxa"/>
          </w:tblCellMar>
        </w:tblPrEx>
        <w:tc>
          <w:tcPr>
            <w:tcW w:w="24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5AA815DD" w14:textId="77777777" w:rsidR="004E767B" w:rsidRDefault="00D17EB4">
            <w:r>
              <w:rPr>
                <w:sz w:val="20"/>
                <w:szCs w:val="20"/>
              </w:rPr>
              <w:t>LLM (explication uniquement)</w:t>
            </w:r>
          </w:p>
        </w:tc>
        <w:tc>
          <w:tcPr>
            <w:tcW w:w="66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7D5B9779" w14:textId="114E7A80" w:rsidR="004E767B" w:rsidRPr="00285FB7" w:rsidRDefault="00D17EB4">
            <w:pPr>
              <w:rPr>
                <w:lang w:val="fr-FR"/>
              </w:rPr>
            </w:pPr>
            <w:r w:rsidRPr="00285FB7">
              <w:rPr>
                <w:sz w:val="20"/>
                <w:szCs w:val="20"/>
                <w:lang w:val="fr-FR"/>
              </w:rPr>
              <w:t>Ollama + Mistral 7B, déployé en local</w:t>
            </w:r>
            <w:r w:rsidR="00285FB7">
              <w:rPr>
                <w:sz w:val="20"/>
                <w:szCs w:val="20"/>
                <w:lang w:val="fr-FR"/>
              </w:rPr>
              <w:t>/ API (Grock, Gemini, OpenAI)</w:t>
            </w:r>
          </w:p>
        </w:tc>
      </w:tr>
    </w:tbl>
    <w:p w14:paraId="2A9277B1" w14:textId="77777777" w:rsidR="004E767B" w:rsidRDefault="004E767B">
      <w:pPr>
        <w:spacing w:before="200" w:after="200"/>
      </w:pPr>
    </w:p>
    <w:p w14:paraId="235BC0BA" w14:textId="77777777" w:rsidR="004E767B" w:rsidRPr="00285FB7" w:rsidRDefault="00D17EB4">
      <w:pPr>
        <w:rPr>
          <w:lang w:val="fr-FR"/>
        </w:rPr>
      </w:pPr>
      <w:r w:rsidRPr="00285FB7">
        <w:rPr>
          <w:lang w:val="fr-FR"/>
        </w:rPr>
        <w:br w:type="page"/>
      </w:r>
    </w:p>
    <w:p w14:paraId="11FD5200" w14:textId="77777777" w:rsidR="004E767B" w:rsidRPr="00285FB7" w:rsidRDefault="00D17EB4">
      <w:pPr>
        <w:pStyle w:val="Titre1"/>
        <w:rPr>
          <w:lang w:val="fr-FR"/>
        </w:rPr>
      </w:pPr>
      <w:r w:rsidRPr="00285FB7">
        <w:rPr>
          <w:lang w:val="fr-FR"/>
        </w:rPr>
        <w:lastRenderedPageBreak/>
        <w:t>7. Feuille de route</w:t>
      </w:r>
    </w:p>
    <w:p w14:paraId="3E3F86D8" w14:textId="77777777" w:rsidR="004E767B" w:rsidRPr="00285FB7" w:rsidRDefault="00D17EB4">
      <w:pPr>
        <w:spacing w:after="160"/>
        <w:rPr>
          <w:lang w:val="fr-FR"/>
        </w:rPr>
      </w:pPr>
      <w:r w:rsidRPr="00285FB7">
        <w:rPr>
          <w:lang w:val="fr-FR"/>
        </w:rPr>
        <w:t>Plan en huit semaines, structuré pour valider la logique métier avant d'investir dans l'infrastructure.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626"/>
      </w:tblGrid>
      <w:tr w:rsidR="004E767B" w14:paraId="166EFE80" w14:textId="77777777">
        <w:tblPrEx>
          <w:tblCellMar>
            <w:top w:w="0" w:type="dxa"/>
            <w:bottom w:w="0" w:type="dxa"/>
          </w:tblCellMar>
        </w:tblPrEx>
        <w:tc>
          <w:tcPr>
            <w:tcW w:w="1200" w:type="dxa"/>
            <w:tcBorders>
              <w:top w:val="single" w:sz="2" w:space="0" w:color="D7DCE6"/>
              <w:left w:val="single" w:sz="2" w:space="0" w:color="D7DCE6"/>
              <w:bottom w:val="single" w:sz="2" w:space="0" w:color="D7DCE6"/>
              <w:right w:val="single" w:sz="2" w:space="0" w:color="D7DCE6"/>
            </w:tcBorders>
            <w:shd w:val="clear" w:color="auto" w:fill="1E2761"/>
            <w:tcMar>
              <w:top w:w="80" w:type="dxa"/>
              <w:left w:w="120" w:type="dxa"/>
              <w:bottom w:w="80" w:type="dxa"/>
              <w:right w:w="120" w:type="dxa"/>
            </w:tcMar>
            <w:vAlign w:val="center"/>
          </w:tcPr>
          <w:p w14:paraId="2624D2D4" w14:textId="77777777" w:rsidR="004E767B" w:rsidRDefault="00D17EB4">
            <w:r>
              <w:rPr>
                <w:b/>
                <w:bCs/>
                <w:color w:val="FFFFFF"/>
                <w:sz w:val="19"/>
                <w:szCs w:val="19"/>
              </w:rPr>
              <w:t>Semaine</w:t>
            </w:r>
          </w:p>
        </w:tc>
        <w:tc>
          <w:tcPr>
            <w:tcW w:w="2200" w:type="dxa"/>
            <w:tcBorders>
              <w:top w:val="single" w:sz="2" w:space="0" w:color="D7DCE6"/>
              <w:left w:val="single" w:sz="2" w:space="0" w:color="D7DCE6"/>
              <w:bottom w:val="single" w:sz="2" w:space="0" w:color="D7DCE6"/>
              <w:right w:val="single" w:sz="2" w:space="0" w:color="D7DCE6"/>
            </w:tcBorders>
            <w:shd w:val="clear" w:color="auto" w:fill="1E2761"/>
            <w:tcMar>
              <w:top w:w="80" w:type="dxa"/>
              <w:left w:w="120" w:type="dxa"/>
              <w:bottom w:w="80" w:type="dxa"/>
              <w:right w:w="120" w:type="dxa"/>
            </w:tcMar>
            <w:vAlign w:val="center"/>
          </w:tcPr>
          <w:p w14:paraId="6DB8D7FE" w14:textId="77777777" w:rsidR="004E767B" w:rsidRDefault="00D17EB4">
            <w:r>
              <w:rPr>
                <w:b/>
                <w:bCs/>
                <w:color w:val="FFFFFF"/>
                <w:sz w:val="19"/>
                <w:szCs w:val="19"/>
              </w:rPr>
              <w:t>Phase</w:t>
            </w:r>
          </w:p>
        </w:tc>
        <w:tc>
          <w:tcPr>
            <w:tcW w:w="5626" w:type="dxa"/>
            <w:tcBorders>
              <w:top w:val="single" w:sz="2" w:space="0" w:color="D7DCE6"/>
              <w:left w:val="single" w:sz="2" w:space="0" w:color="D7DCE6"/>
              <w:bottom w:val="single" w:sz="2" w:space="0" w:color="D7DCE6"/>
              <w:right w:val="single" w:sz="2" w:space="0" w:color="D7DCE6"/>
            </w:tcBorders>
            <w:shd w:val="clear" w:color="auto" w:fill="1E2761"/>
            <w:tcMar>
              <w:top w:w="80" w:type="dxa"/>
              <w:left w:w="120" w:type="dxa"/>
              <w:bottom w:w="80" w:type="dxa"/>
              <w:right w:w="120" w:type="dxa"/>
            </w:tcMar>
            <w:vAlign w:val="center"/>
          </w:tcPr>
          <w:p w14:paraId="67432854" w14:textId="77777777" w:rsidR="004E767B" w:rsidRDefault="00D17EB4">
            <w:r>
              <w:rPr>
                <w:b/>
                <w:bCs/>
                <w:color w:val="FFFFFF"/>
                <w:sz w:val="19"/>
                <w:szCs w:val="19"/>
              </w:rPr>
              <w:t>Objectif</w:t>
            </w:r>
          </w:p>
        </w:tc>
      </w:tr>
      <w:tr w:rsidR="004E767B" w:rsidRPr="00285FB7" w14:paraId="773EAA3F" w14:textId="77777777">
        <w:tblPrEx>
          <w:tblCellMar>
            <w:top w:w="0" w:type="dxa"/>
            <w:bottom w:w="0" w:type="dxa"/>
          </w:tblCellMar>
        </w:tblPrEx>
        <w:tc>
          <w:tcPr>
            <w:tcW w:w="12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3B264220" w14:textId="77777777" w:rsidR="004E767B" w:rsidRDefault="00D17EB4">
            <w:r>
              <w:rPr>
                <w:sz w:val="20"/>
                <w:szCs w:val="20"/>
              </w:rPr>
              <w:t>1</w:t>
            </w:r>
          </w:p>
        </w:tc>
        <w:tc>
          <w:tcPr>
            <w:tcW w:w="22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45C3A65B" w14:textId="77777777" w:rsidR="004E767B" w:rsidRDefault="00D17EB4">
            <w:r>
              <w:rPr>
                <w:sz w:val="20"/>
                <w:szCs w:val="20"/>
              </w:rPr>
              <w:t>Cadrage</w:t>
            </w:r>
          </w:p>
        </w:tc>
        <w:tc>
          <w:tcPr>
            <w:tcW w:w="56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7DD1DE00" w14:textId="23BCA0E8" w:rsidR="004E767B" w:rsidRPr="00285FB7" w:rsidRDefault="00D17EB4">
            <w:pPr>
              <w:rPr>
                <w:lang w:val="fr-FR"/>
              </w:rPr>
            </w:pPr>
            <w:r w:rsidRPr="00285FB7">
              <w:rPr>
                <w:sz w:val="20"/>
                <w:szCs w:val="20"/>
                <w:lang w:val="fr-FR"/>
              </w:rPr>
              <w:t xml:space="preserve">Formaliser 15 à 20 règles TVA/RAS </w:t>
            </w:r>
            <w:r w:rsidRPr="00285FB7">
              <w:rPr>
                <w:sz w:val="20"/>
                <w:szCs w:val="20"/>
                <w:lang w:val="fr-FR"/>
              </w:rPr>
              <w:t>à partir du catalogue ; préparer un jeu de données CSV représentatif.</w:t>
            </w:r>
          </w:p>
        </w:tc>
      </w:tr>
      <w:tr w:rsidR="004E767B" w:rsidRPr="00285FB7" w14:paraId="4759132C" w14:textId="77777777">
        <w:tblPrEx>
          <w:tblCellMar>
            <w:top w:w="0" w:type="dxa"/>
            <w:bottom w:w="0" w:type="dxa"/>
          </w:tblCellMar>
        </w:tblPrEx>
        <w:tc>
          <w:tcPr>
            <w:tcW w:w="12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3A1623A8" w14:textId="77777777" w:rsidR="004E767B" w:rsidRDefault="00D17EB4">
            <w:r>
              <w:rPr>
                <w:sz w:val="20"/>
                <w:szCs w:val="20"/>
              </w:rPr>
              <w:t>2</w:t>
            </w:r>
          </w:p>
        </w:tc>
        <w:tc>
          <w:tcPr>
            <w:tcW w:w="22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7E62A5BD" w14:textId="77777777" w:rsidR="004E767B" w:rsidRDefault="00D17EB4">
            <w:r>
              <w:rPr>
                <w:sz w:val="20"/>
                <w:szCs w:val="20"/>
              </w:rPr>
              <w:t>Moteur de règles</w:t>
            </w:r>
          </w:p>
        </w:tc>
        <w:tc>
          <w:tcPr>
            <w:tcW w:w="56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297D4F54" w14:textId="3783F6CD" w:rsidR="004E767B" w:rsidRPr="00285FB7" w:rsidRDefault="00D17EB4">
            <w:pPr>
              <w:rPr>
                <w:lang w:val="fr-FR"/>
              </w:rPr>
            </w:pPr>
            <w:r w:rsidRPr="00285FB7">
              <w:rPr>
                <w:sz w:val="20"/>
                <w:szCs w:val="20"/>
                <w:lang w:val="fr-FR"/>
              </w:rPr>
              <w:t xml:space="preserve">Développer le moteur de règles en Python/Pandas sur le CSV ; interface </w:t>
            </w:r>
            <w:r w:rsidR="00285FB7">
              <w:rPr>
                <w:sz w:val="20"/>
                <w:szCs w:val="20"/>
                <w:lang w:val="fr-FR"/>
              </w:rPr>
              <w:t>réact</w:t>
            </w:r>
            <w:r w:rsidRPr="00285FB7">
              <w:rPr>
                <w:sz w:val="20"/>
                <w:szCs w:val="20"/>
                <w:lang w:val="fr-FR"/>
              </w:rPr>
              <w:t xml:space="preserve"> minimale affichant les écarts détectés.</w:t>
            </w:r>
          </w:p>
        </w:tc>
      </w:tr>
      <w:tr w:rsidR="004E767B" w:rsidRPr="00285FB7" w14:paraId="467E114A" w14:textId="77777777">
        <w:tblPrEx>
          <w:tblCellMar>
            <w:top w:w="0" w:type="dxa"/>
            <w:bottom w:w="0" w:type="dxa"/>
          </w:tblCellMar>
        </w:tblPrEx>
        <w:tc>
          <w:tcPr>
            <w:tcW w:w="12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3F4147AA" w14:textId="77777777" w:rsidR="004E767B" w:rsidRDefault="00D17EB4">
            <w:r>
              <w:rPr>
                <w:sz w:val="20"/>
                <w:szCs w:val="20"/>
              </w:rPr>
              <w:t>3</w:t>
            </w:r>
          </w:p>
        </w:tc>
        <w:tc>
          <w:tcPr>
            <w:tcW w:w="22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466725F1" w14:textId="77777777" w:rsidR="004E767B" w:rsidRDefault="00D17EB4">
            <w:r>
              <w:rPr>
                <w:sz w:val="20"/>
                <w:szCs w:val="20"/>
              </w:rPr>
              <w:t>RAG</w:t>
            </w:r>
          </w:p>
        </w:tc>
        <w:tc>
          <w:tcPr>
            <w:tcW w:w="56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7E275894" w14:textId="77777777" w:rsidR="004E767B" w:rsidRPr="00285FB7" w:rsidRDefault="00D17EB4">
            <w:pPr>
              <w:rPr>
                <w:lang w:val="fr-FR"/>
              </w:rPr>
            </w:pPr>
            <w:r w:rsidRPr="00285FB7">
              <w:rPr>
                <w:sz w:val="20"/>
                <w:szCs w:val="20"/>
                <w:lang w:val="fr-FR"/>
              </w:rPr>
              <w:t>Indexer les CGI et procédures internes dans ChromaDB ; connecter Ollama/Mistral pour expliquer chaque anomalie avec sa base légale.</w:t>
            </w:r>
          </w:p>
        </w:tc>
      </w:tr>
      <w:tr w:rsidR="004E767B" w:rsidRPr="00285FB7" w14:paraId="4781F445" w14:textId="77777777">
        <w:tblPrEx>
          <w:tblCellMar>
            <w:top w:w="0" w:type="dxa"/>
            <w:bottom w:w="0" w:type="dxa"/>
          </w:tblCellMar>
        </w:tblPrEx>
        <w:tc>
          <w:tcPr>
            <w:tcW w:w="12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6D6A1088" w14:textId="77777777" w:rsidR="004E767B" w:rsidRDefault="00D17EB4">
            <w:r>
              <w:rPr>
                <w:sz w:val="20"/>
                <w:szCs w:val="20"/>
              </w:rPr>
              <w:t>4</w:t>
            </w:r>
          </w:p>
        </w:tc>
        <w:tc>
          <w:tcPr>
            <w:tcW w:w="22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19092AA5" w14:textId="77777777" w:rsidR="004E767B" w:rsidRDefault="00D17EB4">
            <w:r>
              <w:rPr>
                <w:sz w:val="20"/>
                <w:szCs w:val="20"/>
              </w:rPr>
              <w:t>Rapport &amp; démo</w:t>
            </w:r>
          </w:p>
        </w:tc>
        <w:tc>
          <w:tcPr>
            <w:tcW w:w="56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0FB5AB86" w14:textId="77777777" w:rsidR="004E767B" w:rsidRPr="00285FB7" w:rsidRDefault="00D17EB4">
            <w:pPr>
              <w:rPr>
                <w:lang w:val="fr-FR"/>
              </w:rPr>
            </w:pPr>
            <w:r w:rsidRPr="00285FB7">
              <w:rPr>
                <w:sz w:val="20"/>
                <w:szCs w:val="20"/>
                <w:lang w:val="fr-FR"/>
              </w:rPr>
              <w:t>Générer un rapport de revue fiscale (HTML/PDF) ; tester sur des cas réels ; préparer la démonstration au RF.</w:t>
            </w:r>
          </w:p>
        </w:tc>
      </w:tr>
      <w:tr w:rsidR="004E767B" w:rsidRPr="00285FB7" w14:paraId="40CE91B8" w14:textId="77777777">
        <w:tblPrEx>
          <w:tblCellMar>
            <w:top w:w="0" w:type="dxa"/>
            <w:bottom w:w="0" w:type="dxa"/>
          </w:tblCellMar>
        </w:tblPrEx>
        <w:tc>
          <w:tcPr>
            <w:tcW w:w="12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71C4BA67" w14:textId="77777777" w:rsidR="004E767B" w:rsidRDefault="00D17EB4">
            <w:r>
              <w:rPr>
                <w:sz w:val="20"/>
                <w:szCs w:val="20"/>
              </w:rPr>
              <w:t>7</w:t>
            </w:r>
          </w:p>
        </w:tc>
        <w:tc>
          <w:tcPr>
            <w:tcW w:w="22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232FEA52" w14:textId="77777777" w:rsidR="004E767B" w:rsidRDefault="00D17EB4">
            <w:r>
              <w:rPr>
                <w:sz w:val="20"/>
                <w:szCs w:val="20"/>
              </w:rPr>
              <w:t>Migration infrastructure</w:t>
            </w:r>
          </w:p>
        </w:tc>
        <w:tc>
          <w:tcPr>
            <w:tcW w:w="56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003D0AA8" w14:textId="77777777" w:rsidR="004E767B" w:rsidRPr="00285FB7" w:rsidRDefault="00D17EB4">
            <w:pPr>
              <w:rPr>
                <w:lang w:val="fr-FR"/>
              </w:rPr>
            </w:pPr>
            <w:r w:rsidRPr="00285FB7">
              <w:rPr>
                <w:sz w:val="20"/>
                <w:szCs w:val="20"/>
                <w:lang w:val="fr-FR"/>
              </w:rPr>
              <w:t>Migrer le CSV vers PostgreSQL ; commencer la connexion du frontend React.</w:t>
            </w:r>
          </w:p>
        </w:tc>
      </w:tr>
      <w:tr w:rsidR="004E767B" w:rsidRPr="00285FB7" w14:paraId="57095BBE" w14:textId="77777777">
        <w:tblPrEx>
          <w:tblCellMar>
            <w:top w:w="0" w:type="dxa"/>
            <w:bottom w:w="0" w:type="dxa"/>
          </w:tblCellMar>
        </w:tblPrEx>
        <w:tc>
          <w:tcPr>
            <w:tcW w:w="12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4FB90CA5" w14:textId="77777777" w:rsidR="004E767B" w:rsidRDefault="00D17EB4">
            <w:r>
              <w:rPr>
                <w:sz w:val="20"/>
                <w:szCs w:val="20"/>
              </w:rPr>
              <w:t>8</w:t>
            </w:r>
          </w:p>
        </w:tc>
        <w:tc>
          <w:tcPr>
            <w:tcW w:w="2200"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09270523" w14:textId="77777777" w:rsidR="004E767B" w:rsidRDefault="00D17EB4">
            <w:r>
              <w:rPr>
                <w:sz w:val="20"/>
                <w:szCs w:val="20"/>
              </w:rPr>
              <w:t>Validation finale</w:t>
            </w:r>
          </w:p>
        </w:tc>
        <w:tc>
          <w:tcPr>
            <w:tcW w:w="5626" w:type="dxa"/>
            <w:tcBorders>
              <w:top w:val="single" w:sz="2" w:space="0" w:color="D7DCE6"/>
              <w:left w:val="single" w:sz="2" w:space="0" w:color="D7DCE6"/>
              <w:bottom w:val="single" w:sz="2" w:space="0" w:color="D7DCE6"/>
              <w:right w:val="single" w:sz="2" w:space="0" w:color="D7DCE6"/>
            </w:tcBorders>
            <w:tcMar>
              <w:top w:w="80" w:type="dxa"/>
              <w:left w:w="120" w:type="dxa"/>
              <w:bottom w:w="80" w:type="dxa"/>
              <w:right w:w="120" w:type="dxa"/>
            </w:tcMar>
            <w:vAlign w:val="center"/>
          </w:tcPr>
          <w:p w14:paraId="38FCD879" w14:textId="77777777" w:rsidR="004E767B" w:rsidRPr="00285FB7" w:rsidRDefault="00D17EB4">
            <w:pPr>
              <w:rPr>
                <w:lang w:val="fr-FR"/>
              </w:rPr>
            </w:pPr>
            <w:r w:rsidRPr="00285FB7">
              <w:rPr>
                <w:sz w:val="20"/>
                <w:szCs w:val="20"/>
                <w:lang w:val="fr-FR"/>
              </w:rPr>
              <w:t>Tests de bout en bout, ajustement des seuils avec le RF, préparation du rapport de stage final.</w:t>
            </w:r>
          </w:p>
        </w:tc>
      </w:tr>
    </w:tbl>
    <w:p w14:paraId="1D11744C" w14:textId="77777777" w:rsidR="004E767B" w:rsidRPr="00285FB7" w:rsidRDefault="00D17EB4">
      <w:pPr>
        <w:rPr>
          <w:lang w:val="fr-FR"/>
        </w:rPr>
      </w:pPr>
      <w:r w:rsidRPr="00285FB7">
        <w:rPr>
          <w:lang w:val="fr-FR"/>
        </w:rPr>
        <w:br w:type="page"/>
      </w:r>
    </w:p>
    <w:p w14:paraId="41A74D25" w14:textId="77777777" w:rsidR="004E767B" w:rsidRDefault="00D17EB4">
      <w:pPr>
        <w:pStyle w:val="Titre1"/>
      </w:pPr>
      <w:r>
        <w:lastRenderedPageBreak/>
        <w:t>8. Gouvernance et limites du système</w:t>
      </w:r>
    </w:p>
    <w:p w14:paraId="4A474D7F" w14:textId="77777777" w:rsidR="004E767B" w:rsidRPr="00285FB7" w:rsidRDefault="00D17EB4">
      <w:pPr>
        <w:pStyle w:val="Paragraphedeliste"/>
        <w:numPr>
          <w:ilvl w:val="0"/>
          <w:numId w:val="2"/>
        </w:numPr>
        <w:spacing w:after="80"/>
        <w:rPr>
          <w:lang w:val="fr-FR"/>
        </w:rPr>
      </w:pPr>
      <w:r w:rsidRPr="00285FB7">
        <w:rPr>
          <w:lang w:val="fr-FR"/>
        </w:rPr>
        <w:t>Le responsable financier conserve la décision finale sur toute anomalie détectée.</w:t>
      </w:r>
    </w:p>
    <w:p w14:paraId="2C74DECC" w14:textId="77777777" w:rsidR="004E767B" w:rsidRPr="00285FB7" w:rsidRDefault="00D17EB4">
      <w:pPr>
        <w:pStyle w:val="Paragraphedeliste"/>
        <w:numPr>
          <w:ilvl w:val="0"/>
          <w:numId w:val="2"/>
        </w:numPr>
        <w:spacing w:after="80"/>
        <w:rPr>
          <w:lang w:val="fr-FR"/>
        </w:rPr>
      </w:pPr>
      <w:r w:rsidRPr="00285FB7">
        <w:rPr>
          <w:lang w:val="fr-FR"/>
        </w:rPr>
        <w:t>Le système constitue un second niveau de contrôle indépendant, documenté et traçable — il ne remplace pas le cabinet fiscal.</w:t>
      </w:r>
    </w:p>
    <w:p w14:paraId="1A9413E6" w14:textId="77777777" w:rsidR="004E767B" w:rsidRPr="00285FB7" w:rsidRDefault="00D17EB4">
      <w:pPr>
        <w:pStyle w:val="Paragraphedeliste"/>
        <w:numPr>
          <w:ilvl w:val="0"/>
          <w:numId w:val="2"/>
        </w:numPr>
        <w:spacing w:after="80"/>
        <w:rPr>
          <w:lang w:val="fr-FR"/>
        </w:rPr>
      </w:pPr>
      <w:r w:rsidRPr="00285FB7">
        <w:rPr>
          <w:lang w:val="fr-FR"/>
        </w:rPr>
        <w:t>Aucune donnée du Grand Livre ne doit transiter par une API cloud : le LLM et la base vectorielle sont déployés localement.</w:t>
      </w:r>
    </w:p>
    <w:p w14:paraId="5BCACCD3" w14:textId="5C9FD8C8" w:rsidR="004E767B" w:rsidRPr="00285FB7" w:rsidRDefault="004E767B" w:rsidP="00285FB7">
      <w:pPr>
        <w:pStyle w:val="Paragraphedeliste"/>
        <w:spacing w:after="80"/>
        <w:ind w:left="540"/>
        <w:rPr>
          <w:lang w:val="fr-FR"/>
        </w:rPr>
      </w:pPr>
    </w:p>
    <w:sectPr w:rsidR="004E767B" w:rsidRPr="00285FB7">
      <w:headerReference w:type="default" r:id="rId12"/>
      <w:footerReference w:type="default" r:id="rId13"/>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umbo Ina Fatima Soma" w:date="2026-07-19T23:31:00Z" w:initials="DS">
    <w:p w14:paraId="18134A0F" w14:textId="77777777" w:rsidR="00E6046B" w:rsidRDefault="00E6046B" w:rsidP="00E6046B">
      <w:pPr>
        <w:pStyle w:val="Commentaire"/>
      </w:pPr>
      <w:r>
        <w:rPr>
          <w:rStyle w:val="Marquedecommentaire"/>
        </w:rPr>
        <w:annotationRef/>
      </w:r>
      <w:r>
        <w:rPr>
          <w:lang w:val="fr-FR"/>
        </w:rPr>
        <w:t>Je dois encore revoir les contrôles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134A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1606B8" w16cex:dateUtc="2026-07-19T22: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134A0F" w16cid:durableId="401606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3BAEF" w14:textId="77777777" w:rsidR="00D17EB4" w:rsidRDefault="00D17EB4">
      <w:r>
        <w:separator/>
      </w:r>
    </w:p>
  </w:endnote>
  <w:endnote w:type="continuationSeparator" w:id="0">
    <w:p w14:paraId="0E7FA8B1" w14:textId="77777777" w:rsidR="00D17EB4" w:rsidRDefault="00D17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63F8F" w14:textId="77777777" w:rsidR="004E767B" w:rsidRDefault="00D17EB4">
    <w:pPr>
      <w:jc w:val="center"/>
    </w:pPr>
    <w:r>
      <w:rPr>
        <w:color w:val="5B6477"/>
        <w:sz w:val="16"/>
        <w:szCs w:val="16"/>
      </w:rPr>
      <w:t xml:space="preserve">Page </w:t>
    </w:r>
    <w:r>
      <w:rPr>
        <w:color w:val="5B6477"/>
        <w:sz w:val="16"/>
        <w:szCs w:val="16"/>
      </w:rPr>
      <w:fldChar w:fldCharType="begin"/>
    </w:r>
    <w:r>
      <w:rPr>
        <w:color w:val="5B6477"/>
        <w:sz w:val="16"/>
        <w:szCs w:val="16"/>
      </w:rPr>
      <w:instrText>PAGE</w:instrText>
    </w:r>
    <w:r>
      <w:rPr>
        <w:color w:val="5B6477"/>
        <w:sz w:val="16"/>
        <w:szCs w:val="16"/>
      </w:rPr>
      <w:fldChar w:fldCharType="separate"/>
    </w:r>
    <w:r w:rsidR="00285FB7">
      <w:rPr>
        <w:noProof/>
        <w:color w:val="5B6477"/>
        <w:sz w:val="16"/>
        <w:szCs w:val="16"/>
      </w:rPr>
      <w:t>1</w:t>
    </w:r>
    <w:r>
      <w:rPr>
        <w:color w:val="5B64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58C7A" w14:textId="77777777" w:rsidR="00D17EB4" w:rsidRDefault="00D17EB4">
      <w:r>
        <w:separator/>
      </w:r>
    </w:p>
  </w:footnote>
  <w:footnote w:type="continuationSeparator" w:id="0">
    <w:p w14:paraId="387548DF" w14:textId="77777777" w:rsidR="00D17EB4" w:rsidRDefault="00D17E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AF139" w14:textId="46379AB2" w:rsidR="004E767B" w:rsidRPr="00285FB7" w:rsidRDefault="00D17EB4">
    <w:pPr>
      <w:jc w:val="right"/>
      <w:rPr>
        <w:lang w:val="fr-FR"/>
      </w:rPr>
    </w:pPr>
    <w:r w:rsidRPr="00285FB7">
      <w:rPr>
        <w:color w:val="5B6477"/>
        <w:sz w:val="16"/>
        <w:szCs w:val="16"/>
        <w:lang w:val="fr-FR"/>
      </w:rPr>
      <w:t xml:space="preserve">Agent IA de Revue Fiscale — </w:t>
    </w:r>
    <w:r w:rsidR="005D77E8">
      <w:rPr>
        <w:color w:val="5B6477"/>
        <w:sz w:val="16"/>
        <w:szCs w:val="16"/>
        <w:lang w:val="fr-FR"/>
      </w:rPr>
      <w:t>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764C9"/>
    <w:multiLevelType w:val="hybridMultilevel"/>
    <w:tmpl w:val="656A04B6"/>
    <w:lvl w:ilvl="0" w:tplc="23DE5214">
      <w:start w:val="1"/>
      <w:numFmt w:val="bullet"/>
      <w:lvlText w:val="●"/>
      <w:lvlJc w:val="left"/>
      <w:pPr>
        <w:ind w:left="720" w:hanging="360"/>
      </w:pPr>
    </w:lvl>
    <w:lvl w:ilvl="1" w:tplc="2BE8B89C">
      <w:start w:val="1"/>
      <w:numFmt w:val="bullet"/>
      <w:lvlText w:val="○"/>
      <w:lvlJc w:val="left"/>
      <w:pPr>
        <w:ind w:left="1440" w:hanging="360"/>
      </w:pPr>
    </w:lvl>
    <w:lvl w:ilvl="2" w:tplc="EC46F4BA">
      <w:start w:val="1"/>
      <w:numFmt w:val="bullet"/>
      <w:lvlText w:val="■"/>
      <w:lvlJc w:val="left"/>
      <w:pPr>
        <w:ind w:left="2160" w:hanging="360"/>
      </w:pPr>
    </w:lvl>
    <w:lvl w:ilvl="3" w:tplc="34A055AC">
      <w:start w:val="1"/>
      <w:numFmt w:val="bullet"/>
      <w:lvlText w:val="●"/>
      <w:lvlJc w:val="left"/>
      <w:pPr>
        <w:ind w:left="2880" w:hanging="360"/>
      </w:pPr>
    </w:lvl>
    <w:lvl w:ilvl="4" w:tplc="FE4EAFEC">
      <w:start w:val="1"/>
      <w:numFmt w:val="bullet"/>
      <w:lvlText w:val="○"/>
      <w:lvlJc w:val="left"/>
      <w:pPr>
        <w:ind w:left="3600" w:hanging="360"/>
      </w:pPr>
    </w:lvl>
    <w:lvl w:ilvl="5" w:tplc="8B746B82">
      <w:start w:val="1"/>
      <w:numFmt w:val="bullet"/>
      <w:lvlText w:val="■"/>
      <w:lvlJc w:val="left"/>
      <w:pPr>
        <w:ind w:left="4320" w:hanging="360"/>
      </w:pPr>
    </w:lvl>
    <w:lvl w:ilvl="6" w:tplc="F9B2A6F0">
      <w:start w:val="1"/>
      <w:numFmt w:val="bullet"/>
      <w:lvlText w:val="●"/>
      <w:lvlJc w:val="left"/>
      <w:pPr>
        <w:ind w:left="5040" w:hanging="360"/>
      </w:pPr>
    </w:lvl>
    <w:lvl w:ilvl="7" w:tplc="BB30A832">
      <w:start w:val="1"/>
      <w:numFmt w:val="bullet"/>
      <w:lvlText w:val="●"/>
      <w:lvlJc w:val="left"/>
      <w:pPr>
        <w:ind w:left="5760" w:hanging="360"/>
      </w:pPr>
    </w:lvl>
    <w:lvl w:ilvl="8" w:tplc="FE4091F6">
      <w:start w:val="1"/>
      <w:numFmt w:val="bullet"/>
      <w:lvlText w:val="●"/>
      <w:lvlJc w:val="left"/>
      <w:pPr>
        <w:ind w:left="6480" w:hanging="360"/>
      </w:pPr>
    </w:lvl>
  </w:abstractNum>
  <w:abstractNum w:abstractNumId="1" w15:restartNumberingAfterBreak="0">
    <w:nsid w:val="6B0913AF"/>
    <w:multiLevelType w:val="hybridMultilevel"/>
    <w:tmpl w:val="B5CC0476"/>
    <w:lvl w:ilvl="0" w:tplc="5AA49A38">
      <w:start w:val="1"/>
      <w:numFmt w:val="bullet"/>
      <w:lvlText w:val="•"/>
      <w:lvlJc w:val="left"/>
      <w:pPr>
        <w:ind w:left="540" w:hanging="270"/>
      </w:pPr>
    </w:lvl>
    <w:lvl w:ilvl="1" w:tplc="CACC8AD2">
      <w:numFmt w:val="decimal"/>
      <w:lvlText w:val=""/>
      <w:lvlJc w:val="left"/>
    </w:lvl>
    <w:lvl w:ilvl="2" w:tplc="1520AEE2">
      <w:numFmt w:val="decimal"/>
      <w:lvlText w:val=""/>
      <w:lvlJc w:val="left"/>
    </w:lvl>
    <w:lvl w:ilvl="3" w:tplc="B62E8838">
      <w:numFmt w:val="decimal"/>
      <w:lvlText w:val=""/>
      <w:lvlJc w:val="left"/>
    </w:lvl>
    <w:lvl w:ilvl="4" w:tplc="4CE0BD64">
      <w:numFmt w:val="decimal"/>
      <w:lvlText w:val=""/>
      <w:lvlJc w:val="left"/>
    </w:lvl>
    <w:lvl w:ilvl="5" w:tplc="21121112">
      <w:numFmt w:val="decimal"/>
      <w:lvlText w:val=""/>
      <w:lvlJc w:val="left"/>
    </w:lvl>
    <w:lvl w:ilvl="6" w:tplc="4E4C51EE">
      <w:numFmt w:val="decimal"/>
      <w:lvlText w:val=""/>
      <w:lvlJc w:val="left"/>
    </w:lvl>
    <w:lvl w:ilvl="7" w:tplc="8F8EDD3E">
      <w:numFmt w:val="decimal"/>
      <w:lvlText w:val=""/>
      <w:lvlJc w:val="left"/>
    </w:lvl>
    <w:lvl w:ilvl="8" w:tplc="54BC354E">
      <w:numFmt w:val="decimal"/>
      <w:lvlText w:val=""/>
      <w:lvlJc w:val="left"/>
    </w:lvl>
  </w:abstractNum>
  <w:abstractNum w:abstractNumId="2" w15:restartNumberingAfterBreak="0">
    <w:nsid w:val="6ED828E7"/>
    <w:multiLevelType w:val="hybridMultilevel"/>
    <w:tmpl w:val="C504E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6634938">
    <w:abstractNumId w:val="0"/>
    <w:lvlOverride w:ilvl="0">
      <w:startOverride w:val="1"/>
    </w:lvlOverride>
  </w:num>
  <w:num w:numId="2" w16cid:durableId="1596747412">
    <w:abstractNumId w:val="1"/>
    <w:lvlOverride w:ilvl="0">
      <w:startOverride w:val="1"/>
    </w:lvlOverride>
  </w:num>
  <w:num w:numId="3" w16cid:durableId="372577147">
    <w:abstractNumId w:val="1"/>
  </w:num>
  <w:num w:numId="4" w16cid:durableId="11807005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umbo Ina Fatima Soma">
    <w15:presenceInfo w15:providerId="AD" w15:userId="S::ina.soma@centrale-casablanca.ma::f4f81ab9-65fd-4034-a821-2ea5d64df8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67B"/>
    <w:rsid w:val="00285FB7"/>
    <w:rsid w:val="004E767B"/>
    <w:rsid w:val="005D77E8"/>
    <w:rsid w:val="00642928"/>
    <w:rsid w:val="00D17EB4"/>
    <w:rsid w:val="00E60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A0BA6"/>
  <w15:docId w15:val="{D2AD7DCA-C9BB-4F2C-8728-7135C8041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E2761"/>
      <w:sz w:val="32"/>
      <w:szCs w:val="32"/>
    </w:rPr>
  </w:style>
  <w:style w:type="paragraph" w:styleId="Titre2">
    <w:name w:val="heading 2"/>
    <w:uiPriority w:val="9"/>
    <w:unhideWhenUsed/>
    <w:qFormat/>
    <w:pPr>
      <w:spacing w:before="280" w:after="160"/>
      <w:outlineLvl w:val="1"/>
    </w:pPr>
    <w:rPr>
      <w:b/>
      <w:bCs/>
      <w:color w:val="1E2761"/>
      <w:sz w:val="27"/>
      <w:szCs w:val="27"/>
    </w:rPr>
  </w:style>
  <w:style w:type="paragraph" w:styleId="Titre3">
    <w:name w:val="heading 3"/>
    <w:uiPriority w:val="9"/>
    <w:unhideWhenUsed/>
    <w:qFormat/>
    <w:pPr>
      <w:spacing w:before="220" w:after="120"/>
      <w:outlineLvl w:val="2"/>
    </w:pPr>
    <w:rPr>
      <w:b/>
      <w:bCs/>
      <w:color w:val="0D9488"/>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5D77E8"/>
    <w:pPr>
      <w:tabs>
        <w:tab w:val="center" w:pos="4680"/>
        <w:tab w:val="right" w:pos="9360"/>
      </w:tabs>
    </w:pPr>
  </w:style>
  <w:style w:type="character" w:customStyle="1" w:styleId="En-tteCar">
    <w:name w:val="En-tête Car"/>
    <w:basedOn w:val="Policepardfaut"/>
    <w:link w:val="En-tte"/>
    <w:uiPriority w:val="99"/>
    <w:rsid w:val="005D77E8"/>
  </w:style>
  <w:style w:type="paragraph" w:styleId="Pieddepage">
    <w:name w:val="footer"/>
    <w:basedOn w:val="Normal"/>
    <w:link w:val="PieddepageCar"/>
    <w:uiPriority w:val="99"/>
    <w:unhideWhenUsed/>
    <w:rsid w:val="005D77E8"/>
    <w:pPr>
      <w:tabs>
        <w:tab w:val="center" w:pos="4680"/>
        <w:tab w:val="right" w:pos="9360"/>
      </w:tabs>
    </w:pPr>
  </w:style>
  <w:style w:type="character" w:customStyle="1" w:styleId="PieddepageCar">
    <w:name w:val="Pied de page Car"/>
    <w:basedOn w:val="Policepardfaut"/>
    <w:link w:val="Pieddepage"/>
    <w:uiPriority w:val="99"/>
    <w:rsid w:val="005D77E8"/>
  </w:style>
  <w:style w:type="character" w:styleId="Marquedecommentaire">
    <w:name w:val="annotation reference"/>
    <w:basedOn w:val="Policepardfaut"/>
    <w:uiPriority w:val="99"/>
    <w:semiHidden/>
    <w:unhideWhenUsed/>
    <w:rsid w:val="00E6046B"/>
    <w:rPr>
      <w:sz w:val="16"/>
      <w:szCs w:val="16"/>
    </w:rPr>
  </w:style>
  <w:style w:type="paragraph" w:styleId="Commentaire">
    <w:name w:val="annotation text"/>
    <w:basedOn w:val="Normal"/>
    <w:link w:val="CommentaireCar"/>
    <w:uiPriority w:val="99"/>
    <w:unhideWhenUsed/>
    <w:rsid w:val="00E6046B"/>
    <w:rPr>
      <w:sz w:val="20"/>
      <w:szCs w:val="20"/>
    </w:rPr>
  </w:style>
  <w:style w:type="character" w:customStyle="1" w:styleId="CommentaireCar">
    <w:name w:val="Commentaire Car"/>
    <w:basedOn w:val="Policepardfaut"/>
    <w:link w:val="Commentaire"/>
    <w:uiPriority w:val="99"/>
    <w:rsid w:val="00E6046B"/>
    <w:rPr>
      <w:sz w:val="20"/>
      <w:szCs w:val="20"/>
    </w:rPr>
  </w:style>
  <w:style w:type="paragraph" w:styleId="Objetducommentaire">
    <w:name w:val="annotation subject"/>
    <w:basedOn w:val="Commentaire"/>
    <w:next w:val="Commentaire"/>
    <w:link w:val="ObjetducommentaireCar"/>
    <w:uiPriority w:val="99"/>
    <w:semiHidden/>
    <w:unhideWhenUsed/>
    <w:rsid w:val="00E6046B"/>
    <w:rPr>
      <w:b/>
      <w:bCs/>
    </w:rPr>
  </w:style>
  <w:style w:type="character" w:customStyle="1" w:styleId="ObjetducommentaireCar">
    <w:name w:val="Objet du commentaire Car"/>
    <w:basedOn w:val="CommentaireCar"/>
    <w:link w:val="Objetducommentaire"/>
    <w:uiPriority w:val="99"/>
    <w:semiHidden/>
    <w:rsid w:val="00E6046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294BA-53A2-45EB-A725-B4B0ED820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1073</Words>
  <Characters>6118</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Doumbo Ina Fatima Soma</cp:lastModifiedBy>
  <cp:revision>2</cp:revision>
  <dcterms:created xsi:type="dcterms:W3CDTF">2026-07-19T22:32:00Z</dcterms:created>
  <dcterms:modified xsi:type="dcterms:W3CDTF">2026-07-19T22:32:00Z</dcterms:modified>
</cp:coreProperties>
</file>