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7040FF"/>
          <w:sz w:val="28"/>
        </w:rPr>
        <w:t>APPORINE</w:t>
      </w:r>
    </w:p>
    <w:p>
      <w:pPr>
        <w:spacing w:before="320" w:after="80"/>
        <w:jc w:val="center"/>
      </w:pPr>
      <w:r>
        <w:rPr>
          <w:rFonts w:ascii="Calibri" w:hAnsi="Calibri"/>
          <w:b/>
          <w:color w:val="110A24"/>
          <w:sz w:val="52"/>
        </w:rPr>
        <w:t>Internal Admin Control Plane Specification</w:t>
      </w:r>
    </w:p>
    <w:p>
      <w:pPr>
        <w:spacing w:after="360"/>
        <w:jc w:val="center"/>
      </w:pPr>
      <w:r>
        <w:rPr>
          <w:rFonts w:ascii="Calibri" w:hAnsi="Calibri"/>
          <w:color w:val="6A6476"/>
          <w:sz w:val="22"/>
        </w:rPr>
        <w:t>Product, customer operations, licensing, deployment, commercial intelligence, security governance, UI UX and engineering contract</w:t>
      </w:r>
    </w:p>
    <w:tbl>
      <w:tblPr>
        <w:tblW w:type="auto" w:w="0"/>
        <w:jc w:val="center"/>
        <w:tblLook w:firstColumn="1" w:firstRow="1" w:lastColumn="0" w:lastRow="0" w:noHBand="0" w:noVBand="1" w:val="04A0"/>
      </w:tblPr>
      <w:tblGrid>
        <w:gridCol w:w="3456"/>
        <w:gridCol w:w="3456"/>
        <w:gridCol w:w="3456"/>
      </w:tblGrid>
      <w:tr>
        <w:tc>
          <w:tcPr>
            <w:tcW w:type="dxa" w:w="3456"/>
            <w:shd w:fill="7040FF"/>
            <w:tcMar>
              <w:top w:w="0" w:type="dxa"/>
              <w:start w:w="0" w:type="dxa"/>
              <w:bottom w:w="0" w:type="dxa"/>
              <w:end w:w="0" w:type="dxa"/>
            </w:tcMar>
          </w:tcPr>
          <w:p/>
        </w:tc>
        <w:tc>
          <w:tcPr>
            <w:tcW w:type="dxa" w:w="3456"/>
            <w:shd w:fill="05DCE8"/>
            <w:tcMar>
              <w:top w:w="0" w:type="dxa"/>
              <w:start w:w="0" w:type="dxa"/>
              <w:bottom w:w="0" w:type="dxa"/>
              <w:end w:w="0" w:type="dxa"/>
            </w:tcMar>
          </w:tcPr>
          <w:p/>
        </w:tc>
        <w:tc>
          <w:tcPr>
            <w:tcW w:type="dxa" w:w="3456"/>
            <w:shd w:fill="FF694D"/>
            <w:tcMar>
              <w:top w:w="0" w:type="dxa"/>
              <w:start w:w="0" w:type="dxa"/>
              <w:bottom w:w="0" w:type="dxa"/>
              <w:end w:w="0" w:type="dxa"/>
            </w:tcMar>
          </w:tcPr>
          <w:p/>
        </w:tc>
        <w:trPr>
          <w:tblHeader/>
        </w:trPr>
      </w:tr>
    </w:tbl>
    <w:p>
      <w:pPr>
        <w:spacing w:before="480" w:after="40" w:line="259" w:lineRule="auto"/>
        <w:jc w:val="center"/>
      </w:pPr>
      <w:r>
        <w:rPr>
          <w:rFonts w:ascii="Calibri" w:hAnsi="Calibri"/>
          <w:b/>
          <w:i w:val="0"/>
          <w:color w:val="110A24"/>
          <w:sz w:val="20"/>
        </w:rPr>
        <w:t>Version 2.0  |  12 October 2026</w:t>
      </w:r>
    </w:p>
    <w:p>
      <w:pPr>
        <w:spacing w:before="0" w:after="40" w:line="259" w:lineRule="auto"/>
        <w:jc w:val="center"/>
      </w:pPr>
      <w:r>
        <w:rPr>
          <w:rFonts w:ascii="Calibri" w:hAnsi="Calibri"/>
          <w:b w:val="0"/>
          <w:i w:val="0"/>
          <w:color w:val="6A6476"/>
          <w:sz w:val="18"/>
        </w:rPr>
        <w:t>Supersedes Version 1.0</w:t>
      </w:r>
    </w:p>
    <w:p>
      <w:pPr>
        <w:spacing w:before="0" w:after="400" w:line="259" w:lineRule="auto"/>
        <w:jc w:val="center"/>
      </w:pPr>
      <w:r>
        <w:rPr>
          <w:rFonts w:ascii="Calibri" w:hAnsi="Calibri"/>
          <w:b w:val="0"/>
          <w:i w:val="0"/>
          <w:color w:val="6A6476"/>
          <w:sz w:val="18"/>
        </w:rPr>
        <w:t>Prepared for Apporine</w:t>
      </w:r>
    </w:p>
    <w:tbl>
      <w:tblPr>
        <w:tblW w:type="auto" w:w="0"/>
        <w:jc w:val="center"/>
        <w:tblLook w:firstColumn="1" w:firstRow="1" w:lastColumn="0" w:lastRow="0" w:noHBand="0" w:noVBand="1" w:val="04A0"/>
      </w:tblPr>
      <w:tblGrid>
        <w:gridCol w:w="10368"/>
      </w:tblGrid>
      <w:tr>
        <w:trPr>
          <w:cantSplit/>
          <w:tblHeader/>
        </w:trPr>
        <w:tc>
          <w:tcPr>
            <w:tcW w:type="dxa" w:w="10368"/>
            <w:shd w:fill="F2EDFF"/>
            <w:tcMar>
              <w:top w:w="120" w:type="dxa"/>
              <w:start w:w="160" w:type="dxa"/>
              <w:bottom w:w="120" w:type="dxa"/>
              <w:end w:w="160" w:type="dxa"/>
            </w:tcMar>
            <w:tcBorders>
              <w:left w:val="single" w:sz="18" w:color="7040FF"/>
            </w:tcBorders>
          </w:tcPr>
          <w:p>
            <w:pPr>
              <w:spacing w:before="0" w:after="40" w:line="240" w:lineRule="auto"/>
            </w:pPr>
            <w:r>
              <w:rPr>
                <w:rFonts w:ascii="Calibri" w:hAnsi="Calibri"/>
                <w:b/>
                <w:color w:val="110A24"/>
                <w:sz w:val="20"/>
              </w:rPr>
              <w:t>Architecture decision</w:t>
            </w:r>
          </w:p>
          <w:p>
            <w:pPr>
              <w:spacing w:before="0" w:after="0" w:line="252" w:lineRule="auto"/>
            </w:pPr>
            <w:r>
              <w:rPr>
                <w:rFonts w:ascii="Calibri" w:hAnsi="Calibri"/>
                <w:color w:val="110A24"/>
                <w:sz w:val="18"/>
              </w:rPr>
              <w:t>Build one multi product Apporine control plane that can manage Relyxus and future Apporine products. Do not build a separate admin application for every product. The control plane is Apporine owned, AWS hosted, and separate from customer production environments.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EAFDFF"/>
            <w:tcMar>
              <w:top w:w="120" w:type="dxa"/>
              <w:start w:w="160" w:type="dxa"/>
              <w:bottom w:w="120" w:type="dxa"/>
              <w:end w:w="160" w:type="dxa"/>
            </w:tcMar>
            <w:tcBorders>
              <w:left w:val="single" w:sz="18" w:color="05DCE8"/>
            </w:tcBorders>
          </w:tcPr>
          <w:p>
            <w:pPr>
              <w:spacing w:before="0" w:after="40" w:line="240" w:lineRule="auto"/>
            </w:pPr>
            <w:r>
              <w:rPr>
                <w:rFonts w:ascii="Calibri" w:hAnsi="Calibri"/>
                <w:b/>
                <w:color w:val="110A24"/>
                <w:sz w:val="20"/>
              </w:rPr>
              <w:t>Design decision</w:t>
            </w:r>
          </w:p>
          <w:p>
            <w:pPr>
              <w:spacing w:before="0" w:after="0" w:line="252" w:lineRule="auto"/>
            </w:pPr>
            <w:r>
              <w:rPr>
                <w:rFonts w:ascii="Calibri" w:hAnsi="Calibri"/>
                <w:color w:val="110A24"/>
                <w:sz w:val="18"/>
              </w:rPr>
              <w:t>Quiet enterprise confidence. Use the Apporine palette only as controlled emphasis. No rainbow dashboards, decorative gradients, oversized marketing cards, or color for decoration.</w:t>
            </w:r>
          </w:p>
        </w:tc>
      </w:tr>
    </w:tbl>
    <w:p>
      <w:pPr>
        <w:spacing w:after="20"/>
      </w:pPr>
    </w:p>
    <w:p>
      <w:pPr>
        <w:pStyle w:val="Heading1"/>
        <w:keepNext/>
      </w:pPr>
      <w:r>
        <w:rPr>
          <w:rFonts w:ascii="Calibri" w:hAnsi="Calibri"/>
          <w:b/>
          <w:color w:val="110A24"/>
          <w:sz w:val="36"/>
        </w:rPr>
        <w:t>Document control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79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Value</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color w:val="110A24"/>
                <w:sz w:val="17"/>
              </w:rPr>
              <w:t>Status</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7"/>
              </w:rPr>
              <w:t>Implementation authority for the Apporine internal control plane</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color w:val="110A24"/>
                <w:sz w:val="17"/>
              </w:rPr>
              <w:t>Audience</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7"/>
              </w:rPr>
              <w:t>Founders, product owner, engineering, DevOps, security, customer operations, finance and future platform teams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color w:val="110A24"/>
                <w:sz w:val="17"/>
              </w:rPr>
              <w:t>Primary use</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7"/>
              </w:rPr>
              <w:t>Cursor planning and implementation, architecture reviews, UI UX build, operational runbooks and release acceptance</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color w:val="110A24"/>
                <w:sz w:val="17"/>
              </w:rPr>
              <w:t>Related authority</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7"/>
              </w:rPr>
              <w:t>Apporine Licensing and Entitlement Architecture Specification Version 1.0</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color w:val="110A24"/>
                <w:sz w:val="17"/>
              </w:rPr>
              <w:t>Product relationship</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7"/>
              </w:rPr>
              <w:t>Relyxus remains a separate customer product. This control plane manages commercial and operational metadata about Relyxus and future Apporine products.</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color w:val="110A24"/>
                <w:sz w:val="17"/>
              </w:rPr>
              <w:t>Change principle</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7"/>
              </w:rPr>
              <w:t>Preserve prior Version 1.0 decisions unless this document explicitly strengthens them.</w:t>
            </w:r>
          </w:p>
        </w:tc>
      </w:tr>
    </w:tbl>
    <w:p>
      <w:pPr>
        <w:spacing w:after="20"/>
      </w:pPr>
    </w:p>
    <w:p>
      <w:pPr>
        <w:pStyle w:val="Heading1"/>
        <w:keepNext/>
      </w:pPr>
      <w:r>
        <w:rPr>
          <w:rFonts w:ascii="Calibri" w:hAnsi="Calibri"/>
          <w:b/>
          <w:color w:val="110A24"/>
          <w:sz w:val="36"/>
        </w:rPr>
        <w:t>Contents</w:t>
      </w:r>
    </w:p>
    <w:p>
      <w:pPr>
        <w:spacing w:before="0" w:after="20" w:line="259" w:lineRule="auto"/>
      </w:pPr>
      <w:r>
        <w:rPr>
          <w:rFonts w:ascii="Calibri" w:hAnsi="Calibri"/>
          <w:b w:val="0"/>
          <w:i w:val="0"/>
          <w:color w:val="110A24"/>
          <w:sz w:val="18"/>
        </w:rPr>
        <w:t>1. Executive decision and product boundary</w:t>
      </w:r>
    </w:p>
    <w:p>
      <w:pPr>
        <w:spacing w:before="0" w:after="20" w:line="259" w:lineRule="auto"/>
      </w:pPr>
      <w:r>
        <w:rPr>
          <w:rFonts w:ascii="Calibri" w:hAnsi="Calibri"/>
          <w:b w:val="0"/>
          <w:i w:val="0"/>
          <w:color w:val="110A24"/>
          <w:sz w:val="18"/>
        </w:rPr>
        <w:t>2. Enterprise benchmark synthesis</w:t>
      </w:r>
    </w:p>
    <w:p>
      <w:pPr>
        <w:spacing w:before="0" w:after="20" w:line="259" w:lineRule="auto"/>
      </w:pPr>
      <w:r>
        <w:rPr>
          <w:rFonts w:ascii="Calibri" w:hAnsi="Calibri"/>
          <w:b w:val="0"/>
          <w:i w:val="0"/>
          <w:color w:val="110A24"/>
          <w:sz w:val="18"/>
        </w:rPr>
        <w:t>3. Product and design principles</w:t>
      </w:r>
    </w:p>
    <w:p>
      <w:pPr>
        <w:spacing w:before="0" w:after="20" w:line="259" w:lineRule="auto"/>
      </w:pPr>
      <w:r>
        <w:rPr>
          <w:rFonts w:ascii="Calibri" w:hAnsi="Calibri"/>
          <w:b w:val="0"/>
          <w:i w:val="0"/>
          <w:color w:val="110A24"/>
          <w:sz w:val="18"/>
        </w:rPr>
        <w:t>4. Information architecture and navigation</w:t>
      </w:r>
    </w:p>
    <w:p>
      <w:pPr>
        <w:spacing w:before="0" w:after="20" w:line="259" w:lineRule="auto"/>
      </w:pPr>
      <w:r>
        <w:rPr>
          <w:rFonts w:ascii="Calibri" w:hAnsi="Calibri"/>
          <w:b w:val="0"/>
          <w:i w:val="0"/>
          <w:color w:val="110A24"/>
          <w:sz w:val="18"/>
        </w:rPr>
        <w:t>5. Roles, scopes and segregation of duties</w:t>
      </w:r>
    </w:p>
    <w:p>
      <w:pPr>
        <w:spacing w:before="0" w:after="20" w:line="259" w:lineRule="auto"/>
      </w:pPr>
      <w:r>
        <w:rPr>
          <w:rFonts w:ascii="Calibri" w:hAnsi="Calibri"/>
          <w:b w:val="0"/>
          <w:i w:val="0"/>
          <w:color w:val="110A24"/>
          <w:sz w:val="18"/>
        </w:rPr>
        <w:t>6. Visual design system</w:t>
      </w:r>
    </w:p>
    <w:p>
      <w:pPr>
        <w:spacing w:before="0" w:after="20" w:line="259" w:lineRule="auto"/>
      </w:pPr>
      <w:r>
        <w:rPr>
          <w:rFonts w:ascii="Calibri" w:hAnsi="Calibri"/>
          <w:b w:val="0"/>
          <w:i w:val="0"/>
          <w:color w:val="110A24"/>
          <w:sz w:val="18"/>
        </w:rPr>
        <w:t>7. Global shell, search and command palette</w:t>
      </w:r>
    </w:p>
    <w:p>
      <w:pPr>
        <w:spacing w:before="0" w:after="20" w:line="259" w:lineRule="auto"/>
      </w:pPr>
      <w:r>
        <w:rPr>
          <w:rFonts w:ascii="Calibri" w:hAnsi="Calibri"/>
          <w:b w:val="0"/>
          <w:i w:val="0"/>
          <w:color w:val="110A24"/>
          <w:sz w:val="18"/>
        </w:rPr>
        <w:t>8. Portfolio command center</w:t>
      </w:r>
    </w:p>
    <w:p>
      <w:pPr>
        <w:spacing w:before="0" w:after="20" w:line="259" w:lineRule="auto"/>
      </w:pPr>
      <w:r>
        <w:rPr>
          <w:rFonts w:ascii="Calibri" w:hAnsi="Calibri"/>
          <w:b w:val="0"/>
          <w:i w:val="0"/>
          <w:color w:val="110A24"/>
          <w:sz w:val="18"/>
        </w:rPr>
        <w:t>9. Product portfolio</w:t>
      </w:r>
    </w:p>
    <w:p>
      <w:pPr>
        <w:spacing w:before="0" w:after="20" w:line="259" w:lineRule="auto"/>
      </w:pPr>
      <w:r>
        <w:rPr>
          <w:rFonts w:ascii="Calibri" w:hAnsi="Calibri"/>
          <w:b w:val="0"/>
          <w:i w:val="0"/>
          <w:color w:val="110A24"/>
          <w:sz w:val="18"/>
        </w:rPr>
        <w:t>10. Customer 360</w:t>
      </w:r>
    </w:p>
    <w:p>
      <w:pPr>
        <w:spacing w:before="0" w:after="20" w:line="259" w:lineRule="auto"/>
      </w:pPr>
      <w:r>
        <w:rPr>
          <w:rFonts w:ascii="Calibri" w:hAnsi="Calibri"/>
          <w:b w:val="0"/>
          <w:i w:val="0"/>
          <w:color w:val="110A24"/>
          <w:sz w:val="18"/>
        </w:rPr>
        <w:t>11. Customer onboarding and lifecycle</w:t>
      </w:r>
    </w:p>
    <w:p>
      <w:pPr>
        <w:spacing w:before="0" w:after="20" w:line="259" w:lineRule="auto"/>
      </w:pPr>
      <w:r>
        <w:rPr>
          <w:rFonts w:ascii="Calibri" w:hAnsi="Calibri"/>
          <w:b w:val="0"/>
          <w:i w:val="0"/>
          <w:color w:val="110A24"/>
          <w:sz w:val="18"/>
        </w:rPr>
        <w:t>12. Contacts, relationships and account teams</w:t>
      </w:r>
    </w:p>
    <w:p>
      <w:pPr>
        <w:spacing w:before="0" w:after="20" w:line="259" w:lineRule="auto"/>
      </w:pPr>
      <w:r>
        <w:rPr>
          <w:rFonts w:ascii="Calibri" w:hAnsi="Calibri"/>
          <w:b w:val="0"/>
          <w:i w:val="0"/>
          <w:color w:val="110A24"/>
          <w:sz w:val="18"/>
        </w:rPr>
        <w:t>13. Contracts, subscriptions and commercial records</w:t>
      </w:r>
    </w:p>
    <w:p>
      <w:pPr>
        <w:spacing w:before="0" w:after="20" w:line="259" w:lineRule="auto"/>
      </w:pPr>
      <w:r>
        <w:rPr>
          <w:rFonts w:ascii="Calibri" w:hAnsi="Calibri"/>
          <w:b w:val="0"/>
          <w:i w:val="0"/>
          <w:color w:val="110A24"/>
          <w:sz w:val="18"/>
        </w:rPr>
        <w:t>14. Entitlements</w:t>
      </w:r>
    </w:p>
    <w:p>
      <w:pPr>
        <w:spacing w:before="0" w:after="20" w:line="259" w:lineRule="auto"/>
      </w:pPr>
      <w:r>
        <w:rPr>
          <w:rFonts w:ascii="Calibri" w:hAnsi="Calibri"/>
          <w:b w:val="0"/>
          <w:i w:val="0"/>
          <w:color w:val="110A24"/>
          <w:sz w:val="18"/>
        </w:rPr>
        <w:t>15. Licenses</w:t>
      </w:r>
    </w:p>
    <w:p>
      <w:pPr>
        <w:spacing w:before="0" w:after="20" w:line="259" w:lineRule="auto"/>
      </w:pPr>
      <w:r>
        <w:rPr>
          <w:rFonts w:ascii="Calibri" w:hAnsi="Calibri"/>
          <w:b w:val="0"/>
          <w:i w:val="0"/>
          <w:color w:val="110A24"/>
          <w:sz w:val="18"/>
        </w:rPr>
        <w:t>16. Deployments and install base</w:t>
      </w:r>
    </w:p>
    <w:p>
      <w:pPr>
        <w:spacing w:before="0" w:after="20" w:line="259" w:lineRule="auto"/>
      </w:pPr>
      <w:r>
        <w:rPr>
          <w:rFonts w:ascii="Calibri" w:hAnsi="Calibri"/>
          <w:b w:val="0"/>
          <w:i w:val="0"/>
          <w:color w:val="110A24"/>
          <w:sz w:val="18"/>
        </w:rPr>
        <w:t>17. Releases and compatibility</w:t>
      </w:r>
    </w:p>
    <w:p>
      <w:pPr>
        <w:spacing w:before="0" w:after="20" w:line="259" w:lineRule="auto"/>
      </w:pPr>
      <w:r>
        <w:rPr>
          <w:rFonts w:ascii="Calibri" w:hAnsi="Calibri"/>
          <w:b w:val="0"/>
          <w:i w:val="0"/>
          <w:color w:val="110A24"/>
          <w:sz w:val="18"/>
        </w:rPr>
        <w:t>18. Usage, adoption and metering</w:t>
      </w:r>
    </w:p>
    <w:p>
      <w:pPr>
        <w:spacing w:before="0" w:after="20" w:line="259" w:lineRule="auto"/>
      </w:pPr>
      <w:r>
        <w:rPr>
          <w:rFonts w:ascii="Calibri" w:hAnsi="Calibri"/>
          <w:b w:val="0"/>
          <w:i w:val="0"/>
          <w:color w:val="110A24"/>
          <w:sz w:val="18"/>
        </w:rPr>
        <w:t>19. Customer health, renewal and risk</w:t>
      </w:r>
    </w:p>
    <w:p>
      <w:pPr>
        <w:spacing w:before="0" w:after="20" w:line="259" w:lineRule="auto"/>
      </w:pPr>
      <w:r>
        <w:rPr>
          <w:rFonts w:ascii="Calibri" w:hAnsi="Calibri"/>
          <w:b w:val="0"/>
          <w:i w:val="0"/>
          <w:color w:val="110A24"/>
          <w:sz w:val="18"/>
        </w:rPr>
        <w:t>20. Support and customer success</w:t>
      </w:r>
    </w:p>
    <w:p>
      <w:pPr>
        <w:spacing w:before="0" w:after="20" w:line="259" w:lineRule="auto"/>
      </w:pPr>
      <w:r>
        <w:rPr>
          <w:rFonts w:ascii="Calibri" w:hAnsi="Calibri"/>
          <w:b w:val="0"/>
          <w:i w:val="0"/>
          <w:color w:val="110A24"/>
          <w:sz w:val="18"/>
        </w:rPr>
        <w:t>21. Approvals and governed actions</w:t>
      </w:r>
    </w:p>
    <w:p>
      <w:pPr>
        <w:spacing w:before="0" w:after="20" w:line="259" w:lineRule="auto"/>
      </w:pPr>
      <w:r>
        <w:rPr>
          <w:rFonts w:ascii="Calibri" w:hAnsi="Calibri"/>
          <w:b w:val="0"/>
          <w:i w:val="0"/>
          <w:color w:val="110A24"/>
          <w:sz w:val="18"/>
        </w:rPr>
        <w:t>22. Financial intelligence and cost to serve</w:t>
      </w:r>
    </w:p>
    <w:p>
      <w:pPr>
        <w:spacing w:before="0" w:after="20" w:line="259" w:lineRule="auto"/>
      </w:pPr>
      <w:r>
        <w:rPr>
          <w:rFonts w:ascii="Calibri" w:hAnsi="Calibri"/>
          <w:b w:val="0"/>
          <w:i w:val="0"/>
          <w:color w:val="110A24"/>
          <w:sz w:val="18"/>
        </w:rPr>
        <w:t>23. Security operations</w:t>
      </w:r>
    </w:p>
    <w:p>
      <w:pPr>
        <w:spacing w:before="0" w:after="20" w:line="259" w:lineRule="auto"/>
      </w:pPr>
      <w:r>
        <w:rPr>
          <w:rFonts w:ascii="Calibri" w:hAnsi="Calibri"/>
          <w:b w:val="0"/>
          <w:i w:val="0"/>
          <w:color w:val="110A24"/>
          <w:sz w:val="18"/>
        </w:rPr>
        <w:t>24. Audit, evidence and administrative analytics</w:t>
      </w:r>
    </w:p>
    <w:p>
      <w:pPr>
        <w:spacing w:before="0" w:after="20" w:line="259" w:lineRule="auto"/>
      </w:pPr>
      <w:r>
        <w:rPr>
          <w:rFonts w:ascii="Calibri" w:hAnsi="Calibri"/>
          <w:b w:val="0"/>
          <w:i w:val="0"/>
          <w:color w:val="110A24"/>
          <w:sz w:val="18"/>
        </w:rPr>
        <w:t>25. Tasks, notifications and automation</w:t>
      </w:r>
    </w:p>
    <w:p>
      <w:pPr>
        <w:spacing w:before="0" w:after="20" w:line="259" w:lineRule="auto"/>
      </w:pPr>
      <w:r>
        <w:rPr>
          <w:rFonts w:ascii="Calibri" w:hAnsi="Calibri"/>
          <w:b w:val="0"/>
          <w:i w:val="0"/>
          <w:color w:val="110A24"/>
          <w:sz w:val="18"/>
        </w:rPr>
        <w:t>26. Analytics, reports and saved views</w:t>
      </w:r>
    </w:p>
    <w:p>
      <w:pPr>
        <w:spacing w:before="0" w:after="20" w:line="259" w:lineRule="auto"/>
      </w:pPr>
      <w:r>
        <w:rPr>
          <w:rFonts w:ascii="Calibri" w:hAnsi="Calibri"/>
          <w:b w:val="0"/>
          <w:i w:val="0"/>
          <w:color w:val="110A24"/>
          <w:sz w:val="18"/>
        </w:rPr>
        <w:t>27. Data quality and governance</w:t>
      </w:r>
    </w:p>
    <w:p>
      <w:pPr>
        <w:spacing w:before="0" w:after="20" w:line="259" w:lineRule="auto"/>
      </w:pPr>
      <w:r>
        <w:rPr>
          <w:rFonts w:ascii="Calibri" w:hAnsi="Calibri"/>
          <w:b w:val="0"/>
          <w:i w:val="0"/>
          <w:color w:val="110A24"/>
          <w:sz w:val="18"/>
        </w:rPr>
        <w:t>28. Integrations and APIs</w:t>
      </w:r>
    </w:p>
    <w:p>
      <w:pPr>
        <w:spacing w:before="0" w:after="20" w:line="259" w:lineRule="auto"/>
      </w:pPr>
      <w:r>
        <w:rPr>
          <w:rFonts w:ascii="Calibri" w:hAnsi="Calibri"/>
          <w:b w:val="0"/>
          <w:i w:val="0"/>
          <w:color w:val="110A24"/>
          <w:sz w:val="18"/>
        </w:rPr>
        <w:t>29. Apporine AI operator assistant</w:t>
      </w:r>
    </w:p>
    <w:p>
      <w:pPr>
        <w:spacing w:before="0" w:after="20" w:line="259" w:lineRule="auto"/>
      </w:pPr>
      <w:r>
        <w:rPr>
          <w:rFonts w:ascii="Calibri" w:hAnsi="Calibri"/>
          <w:b w:val="0"/>
          <w:i w:val="0"/>
          <w:color w:val="110A24"/>
          <w:sz w:val="18"/>
        </w:rPr>
        <w:t>30. UI screen inventory and exact content contract</w:t>
      </w:r>
    </w:p>
    <w:p>
      <w:pPr>
        <w:spacing w:before="0" w:after="20" w:line="259" w:lineRule="auto"/>
      </w:pPr>
      <w:r>
        <w:rPr>
          <w:rFonts w:ascii="Calibri" w:hAnsi="Calibri"/>
          <w:b w:val="0"/>
          <w:i w:val="0"/>
          <w:color w:val="110A24"/>
          <w:sz w:val="18"/>
        </w:rPr>
        <w:t>31. Button, dialog and microcopy contract</w:t>
      </w:r>
    </w:p>
    <w:p>
      <w:pPr>
        <w:spacing w:before="0" w:after="20" w:line="259" w:lineRule="auto"/>
      </w:pPr>
      <w:r>
        <w:rPr>
          <w:rFonts w:ascii="Calibri" w:hAnsi="Calibri"/>
          <w:b w:val="0"/>
          <w:i w:val="0"/>
          <w:color w:val="110A24"/>
          <w:sz w:val="18"/>
        </w:rPr>
        <w:t>32. Interaction, accessibility and responsive behavior</w:t>
      </w:r>
    </w:p>
    <w:p>
      <w:pPr>
        <w:spacing w:before="0" w:after="20" w:line="259" w:lineRule="auto"/>
      </w:pPr>
      <w:r>
        <w:rPr>
          <w:rFonts w:ascii="Calibri" w:hAnsi="Calibri"/>
          <w:b w:val="0"/>
          <w:i w:val="0"/>
          <w:color w:val="110A24"/>
          <w:sz w:val="18"/>
        </w:rPr>
        <w:t>33. Backend architecture</w:t>
      </w:r>
    </w:p>
    <w:p>
      <w:pPr>
        <w:spacing w:before="0" w:after="20" w:line="259" w:lineRule="auto"/>
      </w:pPr>
      <w:r>
        <w:rPr>
          <w:rFonts w:ascii="Calibri" w:hAnsi="Calibri"/>
          <w:b w:val="0"/>
          <w:i w:val="0"/>
          <w:color w:val="110A24"/>
          <w:sz w:val="18"/>
        </w:rPr>
        <w:t>34. AWS platform architecture</w:t>
      </w:r>
    </w:p>
    <w:p>
      <w:pPr>
        <w:spacing w:before="0" w:after="20" w:line="259" w:lineRule="auto"/>
      </w:pPr>
      <w:r>
        <w:rPr>
          <w:rFonts w:ascii="Calibri" w:hAnsi="Calibri"/>
          <w:b w:val="0"/>
          <w:i w:val="0"/>
          <w:color w:val="110A24"/>
          <w:sz w:val="18"/>
        </w:rPr>
        <w:t>35. CI CD and release pipeline</w:t>
      </w:r>
    </w:p>
    <w:p>
      <w:pPr>
        <w:spacing w:before="0" w:after="20" w:line="259" w:lineRule="auto"/>
      </w:pPr>
      <w:r>
        <w:rPr>
          <w:rFonts w:ascii="Calibri" w:hAnsi="Calibri"/>
          <w:b w:val="0"/>
          <w:i w:val="0"/>
          <w:color w:val="110A24"/>
          <w:sz w:val="18"/>
        </w:rPr>
        <w:t>36. Data model</w:t>
      </w:r>
    </w:p>
    <w:p>
      <w:pPr>
        <w:spacing w:before="0" w:after="20" w:line="259" w:lineRule="auto"/>
      </w:pPr>
      <w:r>
        <w:rPr>
          <w:rFonts w:ascii="Calibri" w:hAnsi="Calibri"/>
          <w:b w:val="0"/>
          <w:i w:val="0"/>
          <w:color w:val="110A24"/>
          <w:sz w:val="18"/>
        </w:rPr>
        <w:t>37. Security, privacy and compliance</w:t>
      </w:r>
    </w:p>
    <w:p>
      <w:pPr>
        <w:spacing w:before="0" w:after="20" w:line="259" w:lineRule="auto"/>
      </w:pPr>
      <w:r>
        <w:rPr>
          <w:rFonts w:ascii="Calibri" w:hAnsi="Calibri"/>
          <w:b w:val="0"/>
          <w:i w:val="0"/>
          <w:color w:val="110A24"/>
          <w:sz w:val="18"/>
        </w:rPr>
        <w:t>38. Reliability, backup and disaster recovery</w:t>
      </w:r>
    </w:p>
    <w:p>
      <w:pPr>
        <w:spacing w:before="0" w:after="20" w:line="259" w:lineRule="auto"/>
      </w:pPr>
      <w:r>
        <w:rPr>
          <w:rFonts w:ascii="Calibri" w:hAnsi="Calibri"/>
          <w:b w:val="0"/>
          <w:i w:val="0"/>
          <w:color w:val="110A24"/>
          <w:sz w:val="18"/>
        </w:rPr>
        <w:t>39. Observability</w:t>
      </w:r>
    </w:p>
    <w:p>
      <w:pPr>
        <w:spacing w:before="0" w:after="20" w:line="259" w:lineRule="auto"/>
      </w:pPr>
      <w:r>
        <w:rPr>
          <w:rFonts w:ascii="Calibri" w:hAnsi="Calibri"/>
          <w:b w:val="0"/>
          <w:i w:val="0"/>
          <w:color w:val="110A24"/>
          <w:sz w:val="18"/>
        </w:rPr>
        <w:t>40. Testing and quality gates</w:t>
      </w:r>
    </w:p>
    <w:p>
      <w:pPr>
        <w:spacing w:before="0" w:after="20" w:line="259" w:lineRule="auto"/>
      </w:pPr>
      <w:r>
        <w:rPr>
          <w:rFonts w:ascii="Calibri" w:hAnsi="Calibri"/>
          <w:b w:val="0"/>
          <w:i w:val="0"/>
          <w:color w:val="110A24"/>
          <w:sz w:val="18"/>
        </w:rPr>
        <w:t>41. Repository structure</w:t>
      </w:r>
    </w:p>
    <w:p>
      <w:pPr>
        <w:spacing w:before="0" w:after="20" w:line="259" w:lineRule="auto"/>
      </w:pPr>
      <w:r>
        <w:rPr>
          <w:rFonts w:ascii="Calibri" w:hAnsi="Calibri"/>
          <w:b w:val="0"/>
          <w:i w:val="0"/>
          <w:color w:val="110A24"/>
          <w:sz w:val="18"/>
        </w:rPr>
        <w:t>42. Implementation sequence</w:t>
      </w:r>
    </w:p>
    <w:p>
      <w:pPr>
        <w:spacing w:before="0" w:after="20" w:line="259" w:lineRule="auto"/>
      </w:pPr>
      <w:r>
        <w:rPr>
          <w:rFonts w:ascii="Calibri" w:hAnsi="Calibri"/>
          <w:b w:val="0"/>
          <w:i w:val="0"/>
          <w:color w:val="110A24"/>
          <w:sz w:val="18"/>
        </w:rPr>
        <w:t>43. Cursor build contract</w:t>
      </w:r>
    </w:p>
    <w:p>
      <w:pPr>
        <w:spacing w:before="0" w:after="20" w:line="259" w:lineRule="auto"/>
      </w:pPr>
      <w:r>
        <w:rPr>
          <w:rFonts w:ascii="Calibri" w:hAnsi="Calibri"/>
          <w:b w:val="0"/>
          <w:i w:val="0"/>
          <w:color w:val="110A24"/>
          <w:sz w:val="18"/>
        </w:rPr>
        <w:t>44. Definition of done</w:t>
      </w:r>
    </w:p>
    <w:p>
      <w:pPr>
        <w:spacing w:before="0" w:after="20" w:line="259" w:lineRule="auto"/>
      </w:pPr>
      <w:r>
        <w:rPr>
          <w:rFonts w:ascii="Calibri" w:hAnsi="Calibri"/>
          <w:b w:val="0"/>
          <w:i w:val="0"/>
          <w:color w:val="110A24"/>
          <w:sz w:val="18"/>
        </w:rPr>
        <w:t>45. Benchmark source notes</w:t>
      </w:r>
    </w:p>
    <w:p>
      <w:pPr>
        <w:pStyle w:val="Heading1"/>
        <w:keepNext/>
      </w:pPr>
      <w:r>
        <w:rPr>
          <w:rFonts w:ascii="Calibri" w:hAnsi="Calibri"/>
          <w:b/>
          <w:color w:val="110A24"/>
          <w:sz w:val="36"/>
        </w:rPr>
        <w:t>1. Executive decision and product boundary</w:t>
      </w:r>
    </w:p>
    <w:p>
      <w:pPr>
        <w:spacing w:before="0" w:after="100" w:line="259" w:lineRule="auto"/>
      </w:pPr>
      <w:r>
        <w:rPr>
          <w:rFonts w:ascii="Calibri" w:hAnsi="Calibri"/>
          <w:b w:val="0"/>
          <w:i w:val="0"/>
          <w:color w:val="110A24"/>
          <w:sz w:val="19"/>
        </w:rPr>
        <w:t>The Apporine Internal Admin Control Plane is the internal operating system for Apporine customer operations. It manages products, customers, contacts, contracts, entitlements, licenses, deployments, releases, support metadata, approvals, financial metadata, risk, audit evidence and internal operational workflows across the Apporine product portfolio.</w:t>
      </w:r>
    </w:p>
    <w:p>
      <w:pPr>
        <w:spacing w:before="0" w:after="100" w:line="259" w:lineRule="auto"/>
      </w:pPr>
      <w:r>
        <w:rPr>
          <w:rFonts w:ascii="Calibri" w:hAnsi="Calibri"/>
          <w:b w:val="0"/>
          <w:i w:val="0"/>
          <w:color w:val="110A24"/>
          <w:sz w:val="19"/>
        </w:rPr>
        <w:t>It is not the Relyxus customer console and it is not a remote administration tunnel into customer production. Relyxus and future Apporine products integrate through narrow, audited contracts and signed artifacts. Customer production incident data, credentials and unrestricted production access do not belong in this control plane.</w:t>
      </w:r>
    </w:p>
    <w:tbl>
      <w:tblPr>
        <w:tblW w:type="auto" w:w="0"/>
        <w:jc w:val="center"/>
        <w:tblLook w:firstColumn="1" w:firstRow="1" w:lastColumn="0" w:lastRow="0" w:noHBand="0" w:noVBand="1" w:val="04A0"/>
      </w:tblPr>
      <w:tblGrid>
        <w:gridCol w:w="10368"/>
      </w:tblGrid>
      <w:tr>
        <w:trPr>
          <w:cantSplit/>
          <w:tblHeader/>
        </w:trPr>
        <w:tc>
          <w:tcPr>
            <w:tcW w:type="dxa" w:w="10368"/>
            <w:shd w:fill="F2EDFF"/>
            <w:tcMar>
              <w:top w:w="120" w:type="dxa"/>
              <w:start w:w="160" w:type="dxa"/>
              <w:bottom w:w="120" w:type="dxa"/>
              <w:end w:w="160" w:type="dxa"/>
            </w:tcMar>
            <w:tcBorders>
              <w:left w:val="single" w:sz="18" w:color="7040FF"/>
            </w:tcBorders>
          </w:tcPr>
          <w:p>
            <w:pPr>
              <w:spacing w:before="0" w:after="40" w:line="240" w:lineRule="auto"/>
            </w:pPr>
            <w:r>
              <w:rPr>
                <w:rFonts w:ascii="Calibri" w:hAnsi="Calibri"/>
                <w:b/>
                <w:color w:val="110A24"/>
                <w:sz w:val="20"/>
              </w:rPr>
              <w:t>Core product rule</w:t>
            </w:r>
          </w:p>
          <w:p>
            <w:pPr>
              <w:spacing w:before="0" w:after="0" w:line="252" w:lineRule="auto"/>
            </w:pPr>
            <w:r>
              <w:rPr>
                <w:rFonts w:ascii="Calibri" w:hAnsi="Calibri"/>
                <w:color w:val="110A24"/>
                <w:sz w:val="18"/>
              </w:rPr>
              <w:t>One Apporine control plane, many Apporine products, many customers, many contracts, many licenses and many deployments. Product specific behavior stays inside the product. Portfolio operations stay inside the Apporine control plane.</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Boundary</w:t>
            </w:r>
          </w:p>
        </w:tc>
        <w:tc>
          <w:tcPr>
            <w:tcW w:type="dxa" w:w="96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Rule</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Customer production</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No standing administrative access. Store only approved deployment metadata, customer authorized health metadata and support references.</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Commercial data</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Store contract, subscription, entitlement and renewal metadata needed to operate the business. Payment card data stays outside this system.</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Licensing</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Issue and govern signed commercial license artifacts. Customer specific licenses never require rebuilding application images.</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Future products</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Product records, entitlement definitions and release trains are data driven, not hard coded to Relyxus.</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Internal access</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Apporine staff access is role based, strongly authenticated, audited and subject to segregation of duties.</w:t>
            </w:r>
          </w:p>
        </w:tc>
      </w:tr>
    </w:tbl>
    <w:p>
      <w:pPr>
        <w:spacing w:after="20"/>
      </w:pPr>
    </w:p>
    <w:p>
      <w:pPr>
        <w:pStyle w:val="Heading1"/>
        <w:keepNext/>
      </w:pPr>
      <w:r>
        <w:rPr>
          <w:rFonts w:ascii="Calibri" w:hAnsi="Calibri"/>
          <w:b/>
          <w:color w:val="110A24"/>
          <w:sz w:val="36"/>
        </w:rPr>
        <w:t>2. Enterprise benchmark synthesis</w:t>
      </w:r>
    </w:p>
    <w:p>
      <w:pPr>
        <w:spacing w:before="0" w:after="100" w:line="259" w:lineRule="auto"/>
      </w:pPr>
      <w:r>
        <w:rPr>
          <w:rFonts w:ascii="Calibri" w:hAnsi="Calibri"/>
          <w:b w:val="0"/>
          <w:i w:val="0"/>
          <w:color w:val="110A24"/>
          <w:sz w:val="19"/>
        </w:rPr>
        <w:t>This specification was upgraded after reviewing recurring administration patterns in major enterprise platforms. The goal is not to copy another company interface. The goal is to adopt proven operating patterns and combine them into an Apporine specific control plane.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Benchmark pattern</w:t>
            </w:r>
          </w:p>
        </w:tc>
        <w:tc>
          <w:tcPr>
            <w:tcW w:type="dxa" w:w="44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Observed enterprise behavior</w:t>
            </w:r>
          </w:p>
        </w:tc>
        <w:tc>
          <w:tcPr>
            <w:tcW w:type="dxa" w:w="525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Apporine decision</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Central hierarchy and governance</w:t>
            </w:r>
          </w:p>
        </w:tc>
        <w:tc>
          <w:tcPr>
            <w:tcW w:type="dxa" w:w="4464"/>
            <w:tcMar>
              <w:top w:w="90" w:type="dxa"/>
              <w:start w:w="90" w:type="dxa"/>
              <w:bottom w:w="90" w:type="dxa"/>
              <w:end w:w="90" w:type="dxa"/>
            </w:tcMar>
            <w:vAlign w:val="top"/>
          </w:tcPr>
          <w:p>
            <w:pPr>
              <w:spacing w:before="0" w:after="0" w:line="240" w:lineRule="auto"/>
            </w:pPr>
            <w:r>
              <w:rPr>
                <w:rFonts w:ascii="Calibri" w:hAnsi="Calibri"/>
                <w:b w:val="0"/>
                <w:color w:val="110A24"/>
                <w:sz w:val="15"/>
              </w:rPr>
              <w:t>AWS Control Tower centralizes organizations, accounts, policies, controls, enrollment and drift governance.</w:t>
            </w:r>
          </w:p>
        </w:tc>
        <w:tc>
          <w:tcPr>
            <w:tcW w:type="dxa" w:w="5256"/>
            <w:tcMar>
              <w:top w:w="90" w:type="dxa"/>
              <w:start w:w="90" w:type="dxa"/>
              <w:bottom w:w="90" w:type="dxa"/>
              <w:end w:w="90" w:type="dxa"/>
            </w:tcMar>
            <w:vAlign w:val="top"/>
          </w:tcPr>
          <w:p>
            <w:pPr>
              <w:spacing w:before="0" w:after="0" w:line="240" w:lineRule="auto"/>
            </w:pPr>
            <w:r>
              <w:rPr>
                <w:rFonts w:ascii="Calibri" w:hAnsi="Calibri"/>
                <w:b w:val="0"/>
                <w:color w:val="110A24"/>
                <w:sz w:val="15"/>
              </w:rPr>
              <w:t>Use a clear Apporine to Product to Customer to Contract to Entitlement to License to Deployment hierarchy, with control status and drift detection.</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Strong audit and export</w:t>
            </w:r>
          </w:p>
        </w:tc>
        <w:tc>
          <w:tcPr>
            <w:tcW w:type="dxa" w:w="44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GitHub Enterprise exposes searchable audit events, export and streaming for compliance and investigation.</w:t>
            </w:r>
          </w:p>
        </w:tc>
        <w:tc>
          <w:tcPr>
            <w:tcW w:type="dxa" w:w="52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Every mutation is attributable, searchable and exportable. High impact actions include reason, approval and before and after context.</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Cross resource search</w:t>
            </w:r>
          </w:p>
        </w:tc>
        <w:tc>
          <w:tcPr>
            <w:tcW w:type="dxa" w:w="4464"/>
            <w:tcMar>
              <w:top w:w="90" w:type="dxa"/>
              <w:start w:w="90" w:type="dxa"/>
              <w:bottom w:w="90" w:type="dxa"/>
              <w:end w:w="90" w:type="dxa"/>
            </w:tcMar>
            <w:vAlign w:val="top"/>
          </w:tcPr>
          <w:p>
            <w:pPr>
              <w:spacing w:before="0" w:after="0" w:line="240" w:lineRule="auto"/>
            </w:pPr>
            <w:r>
              <w:rPr>
                <w:rFonts w:ascii="Calibri" w:hAnsi="Calibri"/>
                <w:b w:val="0"/>
                <w:color w:val="110A24"/>
                <w:sz w:val="15"/>
              </w:rPr>
              <w:t>Stripe searches across customers, connected accounts, invoices, payouts and products from one global search.</w:t>
            </w:r>
          </w:p>
        </w:tc>
        <w:tc>
          <w:tcPr>
            <w:tcW w:type="dxa" w:w="5256"/>
            <w:tcMar>
              <w:top w:w="90" w:type="dxa"/>
              <w:start w:w="90" w:type="dxa"/>
              <w:bottom w:w="90" w:type="dxa"/>
              <w:end w:w="90" w:type="dxa"/>
            </w:tcMar>
            <w:vAlign w:val="top"/>
          </w:tcPr>
          <w:p>
            <w:pPr>
              <w:spacing w:before="0" w:after="0" w:line="240" w:lineRule="auto"/>
            </w:pPr>
            <w:r>
              <w:rPr>
                <w:rFonts w:ascii="Calibri" w:hAnsi="Calibri"/>
                <w:b w:val="0"/>
                <w:color w:val="110A24"/>
                <w:sz w:val="15"/>
              </w:rPr>
              <w:t>Provide universal search and command palette across customers, products, contracts, licenses, deployments, contacts and releases.</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Usage and cost attribution</w:t>
            </w:r>
          </w:p>
        </w:tc>
        <w:tc>
          <w:tcPr>
            <w:tcW w:type="dxa" w:w="44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Datadog provides usage attribution by organization and tags, plus usage trends and cost reports.</w:t>
            </w:r>
          </w:p>
        </w:tc>
        <w:tc>
          <w:tcPr>
            <w:tcW w:type="dxa" w:w="52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Track product usage metadata, Apporine cost to serve and commercial metrics with customer and product attribution.</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Scoped access</w:t>
            </w:r>
          </w:p>
        </w:tc>
        <w:tc>
          <w:tcPr>
            <w:tcW w:type="dxa" w:w="4464"/>
            <w:tcMar>
              <w:top w:w="90" w:type="dxa"/>
              <w:start w:w="90" w:type="dxa"/>
              <w:bottom w:w="90" w:type="dxa"/>
              <w:end w:w="90" w:type="dxa"/>
            </w:tcMar>
            <w:vAlign w:val="top"/>
          </w:tcPr>
          <w:p>
            <w:pPr>
              <w:spacing w:before="0" w:after="0" w:line="240" w:lineRule="auto"/>
            </w:pPr>
            <w:r>
              <w:rPr>
                <w:rFonts w:ascii="Calibri" w:hAnsi="Calibri"/>
                <w:b w:val="0"/>
                <w:color w:val="110A24"/>
                <w:sz w:val="15"/>
              </w:rPr>
              <w:t>Cloudflare models members, roles and scopes, and exposes detailed audit analytics.</w:t>
            </w:r>
          </w:p>
        </w:tc>
        <w:tc>
          <w:tcPr>
            <w:tcW w:type="dxa" w:w="5256"/>
            <w:tcMar>
              <w:top w:w="90" w:type="dxa"/>
              <w:start w:w="90" w:type="dxa"/>
              <w:bottom w:w="90" w:type="dxa"/>
              <w:end w:w="90" w:type="dxa"/>
            </w:tcMar>
            <w:vAlign w:val="top"/>
          </w:tcPr>
          <w:p>
            <w:pPr>
              <w:spacing w:before="0" w:after="0" w:line="240" w:lineRule="auto"/>
            </w:pPr>
            <w:r>
              <w:rPr>
                <w:rFonts w:ascii="Calibri" w:hAnsi="Calibri"/>
                <w:b w:val="0"/>
                <w:color w:val="110A24"/>
                <w:sz w:val="15"/>
              </w:rPr>
              <w:t>Permissions combine role, product scope, customer scope and sensitive action permissions. Audit analytics show actors, actions, affected products and failures.</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Organization administration</w:t>
            </w:r>
          </w:p>
        </w:tc>
        <w:tc>
          <w:tcPr>
            <w:tcW w:type="dxa" w:w="44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Atlassian centralizes users, products, billing, data management, security and insights at organization level.</w:t>
            </w:r>
          </w:p>
        </w:tc>
        <w:tc>
          <w:tcPr>
            <w:tcW w:type="dxa" w:w="52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Keep customer identity, product portfolio, commercial, security and analytics in one coherent internal console.</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Layered permission management</w:t>
            </w:r>
          </w:p>
        </w:tc>
        <w:tc>
          <w:tcPr>
            <w:tcW w:type="dxa" w:w="4464"/>
            <w:tcMar>
              <w:top w:w="90" w:type="dxa"/>
              <w:start w:w="90" w:type="dxa"/>
              <w:bottom w:w="90" w:type="dxa"/>
              <w:end w:w="90" w:type="dxa"/>
            </w:tcMar>
            <w:vAlign w:val="top"/>
          </w:tcPr>
          <w:p>
            <w:pPr>
              <w:spacing w:before="0" w:after="0" w:line="240" w:lineRule="auto"/>
            </w:pPr>
            <w:r>
              <w:rPr>
                <w:rFonts w:ascii="Calibri" w:hAnsi="Calibri"/>
                <w:b w:val="0"/>
                <w:color w:val="110A24"/>
                <w:sz w:val="15"/>
              </w:rPr>
              <w:t>Salesforce uses profiles, permission sets and detailed setup audit history.</w:t>
            </w:r>
          </w:p>
        </w:tc>
        <w:tc>
          <w:tcPr>
            <w:tcW w:type="dxa" w:w="5256"/>
            <w:tcMar>
              <w:top w:w="90" w:type="dxa"/>
              <w:start w:w="90" w:type="dxa"/>
              <w:bottom w:w="90" w:type="dxa"/>
              <w:end w:w="90" w:type="dxa"/>
            </w:tcMar>
            <w:vAlign w:val="top"/>
          </w:tcPr>
          <w:p>
            <w:pPr>
              <w:spacing w:before="0" w:after="0" w:line="240" w:lineRule="auto"/>
            </w:pPr>
            <w:r>
              <w:rPr>
                <w:rFonts w:ascii="Calibri" w:hAnsi="Calibri"/>
                <w:b w:val="0"/>
                <w:color w:val="110A24"/>
                <w:sz w:val="15"/>
              </w:rPr>
              <w:t>Use least privilege roles, additional sensitive permissions, time limited elevation and access reviews.</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account model</w:t>
            </w:r>
          </w:p>
        </w:tc>
        <w:tc>
          <w:tcPr>
            <w:tcW w:type="dxa" w:w="44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ServiceNow CSM links accounts, contacts, contracts, entitlements, install base and service cases.</w:t>
            </w:r>
          </w:p>
        </w:tc>
        <w:tc>
          <w:tcPr>
            <w:tcW w:type="dxa" w:w="52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360 includes account hierarchy, contacts, product ownership, contracts, entitlements, deployments, support and lifecycle history.</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EAFDFF"/>
            <w:tcMar>
              <w:top w:w="120" w:type="dxa"/>
              <w:start w:w="160" w:type="dxa"/>
              <w:bottom w:w="120" w:type="dxa"/>
              <w:end w:w="160" w:type="dxa"/>
            </w:tcMar>
            <w:tcBorders>
              <w:left w:val="single" w:sz="18" w:color="05DCE8"/>
            </w:tcBorders>
          </w:tcPr>
          <w:p>
            <w:pPr>
              <w:spacing w:before="0" w:after="40" w:line="240" w:lineRule="auto"/>
            </w:pPr>
            <w:r>
              <w:rPr>
                <w:rFonts w:ascii="Calibri" w:hAnsi="Calibri"/>
                <w:b/>
                <w:color w:val="110A24"/>
                <w:sz w:val="20"/>
              </w:rPr>
              <w:t>What makes Apporine different</w:t>
            </w:r>
          </w:p>
          <w:p>
            <w:pPr>
              <w:spacing w:before="0" w:after="0" w:line="252" w:lineRule="auto"/>
            </w:pPr>
            <w:r>
              <w:rPr>
                <w:rFonts w:ascii="Calibri" w:hAnsi="Calibri"/>
                <w:color w:val="110A24"/>
                <w:sz w:val="18"/>
              </w:rPr>
              <w:t>The control plane combines customer operations, product licensing, deployment governance, renewal intelligence, release impact and security evidence in one operator focused workspace. It should feel more like an internal mission control system than a generic CRM.</w:t>
            </w:r>
          </w:p>
        </w:tc>
      </w:tr>
    </w:tbl>
    <w:p>
      <w:pPr>
        <w:spacing w:after="20"/>
      </w:pPr>
    </w:p>
    <w:p>
      <w:pPr>
        <w:pStyle w:val="Heading1"/>
        <w:keepNext/>
      </w:pPr>
      <w:r>
        <w:rPr>
          <w:rFonts w:ascii="Calibri" w:hAnsi="Calibri"/>
          <w:b/>
          <w:color w:val="110A24"/>
          <w:sz w:val="36"/>
        </w:rPr>
        <w:t>3. Product and design principles</w:t>
      </w:r>
    </w:p>
    <w:p>
      <w:pPr>
        <w:pStyle w:val="ListBullet"/>
        <w:spacing w:before="0" w:after="60" w:line="250" w:lineRule="auto"/>
      </w:pPr>
      <w:r>
        <w:rPr>
          <w:rFonts w:ascii="Calibri" w:hAnsi="Calibri"/>
          <w:color w:val="110A24"/>
          <w:sz w:val="18"/>
        </w:rPr>
        <w:t>Actionable before decorative, every chart must answer an operational question and drill into records.</w:t>
      </w:r>
    </w:p>
    <w:p>
      <w:pPr>
        <w:pStyle w:val="ListBullet"/>
        <w:spacing w:before="0" w:after="60" w:line="250" w:lineRule="auto"/>
      </w:pPr>
      <w:r>
        <w:rPr>
          <w:rFonts w:ascii="Calibri" w:hAnsi="Calibri"/>
          <w:color w:val="110A24"/>
          <w:sz w:val="18"/>
        </w:rPr>
        <w:t>Customer 360 before scattered records, the customer page is the operational truth for one account.</w:t>
      </w:r>
    </w:p>
    <w:p>
      <w:pPr>
        <w:pStyle w:val="ListBullet"/>
        <w:spacing w:before="0" w:after="60" w:line="250" w:lineRule="auto"/>
      </w:pPr>
      <w:r>
        <w:rPr>
          <w:rFonts w:ascii="Calibri" w:hAnsi="Calibri"/>
          <w:color w:val="110A24"/>
          <w:sz w:val="18"/>
        </w:rPr>
        <w:t>One timeline, important commercial, licensing, deployment, support and security events appear in a unified customer timeline.</w:t>
      </w:r>
    </w:p>
    <w:p>
      <w:pPr>
        <w:pStyle w:val="ListBullet"/>
        <w:spacing w:before="0" w:after="60" w:line="250" w:lineRule="auto"/>
      </w:pPr>
      <w:r>
        <w:rPr>
          <w:rFonts w:ascii="Calibri" w:hAnsi="Calibri"/>
          <w:color w:val="110A24"/>
          <w:sz w:val="18"/>
        </w:rPr>
        <w:t>Policy before privilege, sensitive actions are governed by roles, scopes, reason capture, step up authentication and approvals.</w:t>
      </w:r>
    </w:p>
    <w:p>
      <w:pPr>
        <w:pStyle w:val="ListBullet"/>
        <w:spacing w:before="0" w:after="60" w:line="250" w:lineRule="auto"/>
      </w:pPr>
      <w:r>
        <w:rPr>
          <w:rFonts w:ascii="Calibri" w:hAnsi="Calibri"/>
          <w:color w:val="110A24"/>
          <w:sz w:val="18"/>
        </w:rPr>
        <w:t>No rainbow UI, neutral surfaces dominate, Violet marks action, Cyan marks technical focus or healthy live state, Coral marks risk or destructive intent.</w:t>
      </w:r>
    </w:p>
    <w:p>
      <w:pPr>
        <w:pStyle w:val="ListBullet"/>
        <w:spacing w:before="0" w:after="60" w:line="250" w:lineRule="auto"/>
      </w:pPr>
      <w:r>
        <w:rPr>
          <w:rFonts w:ascii="Calibri" w:hAnsi="Calibri"/>
          <w:color w:val="110A24"/>
          <w:sz w:val="18"/>
        </w:rPr>
        <w:t>Data minimization, store only what Apporine needs to operate the relationship and never copy customer production data without an approved purpose.</w:t>
      </w:r>
    </w:p>
    <w:p>
      <w:pPr>
        <w:pStyle w:val="ListBullet"/>
        <w:spacing w:before="0" w:after="60" w:line="250" w:lineRule="auto"/>
      </w:pPr>
      <w:r>
        <w:rPr>
          <w:rFonts w:ascii="Calibri" w:hAnsi="Calibri"/>
          <w:color w:val="110A24"/>
          <w:sz w:val="18"/>
        </w:rPr>
        <w:t>Explainability, every score, risk and automation shows the factors and source records used to produce it.</w:t>
      </w:r>
    </w:p>
    <w:p>
      <w:pPr>
        <w:pStyle w:val="ListBullet"/>
        <w:spacing w:before="0" w:after="60" w:line="250" w:lineRule="auto"/>
      </w:pPr>
      <w:r>
        <w:rPr>
          <w:rFonts w:ascii="Calibri" w:hAnsi="Calibri"/>
          <w:color w:val="110A24"/>
          <w:sz w:val="18"/>
        </w:rPr>
        <w:t>Search first, operators should reach any customer, contract, license, deployment or release in seconds.</w:t>
      </w:r>
    </w:p>
    <w:p>
      <w:pPr>
        <w:pStyle w:val="ListBullet"/>
        <w:spacing w:before="0" w:after="60" w:line="250" w:lineRule="auto"/>
      </w:pPr>
      <w:r>
        <w:rPr>
          <w:rFonts w:ascii="Calibri" w:hAnsi="Calibri"/>
          <w:color w:val="110A24"/>
          <w:sz w:val="18"/>
        </w:rPr>
        <w:t>Automation with brakes, automation may create tasks, reminders, risk flags and drafts, but high impact changes remain controlled.</w:t>
      </w:r>
    </w:p>
    <w:p>
      <w:pPr>
        <w:pStyle w:val="ListBullet"/>
        <w:spacing w:before="0" w:after="60" w:line="250" w:lineRule="auto"/>
      </w:pPr>
      <w:r>
        <w:rPr>
          <w:rFonts w:ascii="Calibri" w:hAnsi="Calibri"/>
          <w:color w:val="110A24"/>
          <w:sz w:val="18"/>
        </w:rPr>
        <w:t>One time build, extensible model, new products and entitlement types are data driven and do not require a new admin application.</w:t>
      </w:r>
    </w:p>
    <w:p>
      <w:pPr>
        <w:pStyle w:val="Heading1"/>
        <w:keepNext/>
      </w:pPr>
      <w:r>
        <w:rPr>
          <w:rFonts w:ascii="Calibri" w:hAnsi="Calibri"/>
          <w:b/>
          <w:color w:val="110A24"/>
          <w:sz w:val="36"/>
        </w:rPr>
        <w:t>4. Information architecture and navigation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80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Primary module</w:t>
            </w:r>
          </w:p>
        </w:tc>
        <w:tc>
          <w:tcPr>
            <w:tcW w:type="dxa" w:w="338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Purpose</w:t>
            </w:r>
          </w:p>
        </w:tc>
        <w:tc>
          <w:tcPr>
            <w:tcW w:type="dxa" w:w="676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Key child views</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Home</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Portfolio command center and operational inbox.</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Executive summary, risks, renewals, approvals, release exposure, customer health, financial summary.</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Products</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Manage Apporine product definitions and release trains.</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 overview, entitlement catalog, releases, compatibility, product customers.</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Customers</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Customer 360 and lifecycle management.</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Overview, contacts, account team, products, contracts, entitlements, licenses, deployments, usage, support, health, finance, audit.</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Commercial</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Contracts, subscriptions, renewals and value.</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Contracts, renewals, commercial terms, invoices reference, purchase orders, renewal pipeline.</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Licensing</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license lifecycle and entitlement enforcement.</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Licenses, revisions, delivery, renewal, suspension, revocation, verification, signing key metadata.</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Deployments</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Install base and environment governance.</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Production, staging, DR, platform, region, release, license binding, support status, last check in.</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Releases</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Release metadata and customer impact.</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Artifacts, compatibility, promotion, customer exposure, upgrade readiness, end of support.</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Success</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success and support.</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Onboarding, health, risks, success plans, cases, SLA, QBR notes, next actions.</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Approvals</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Governed action queue.</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Pending, mine, team, expiring, decided, policy requirements.</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Analytics</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Reports, saved views and operational intelligence.</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Portfolio, customer, commercial, support, cost, security and audit reports.</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Security</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Internal security administration.</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Staff, roles, access reviews, API clients, key metadata, break glass, security posture.</w:t>
            </w:r>
          </w:p>
        </w:tc>
      </w:tr>
      <w:tr>
        <w:trPr>
          <w:cantSplit/>
        </w:trPr>
        <w:tc>
          <w:tcPr>
            <w:tcW w:type="dxa" w:w="18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Audit</w:t>
            </w:r>
          </w:p>
        </w:tc>
        <w:tc>
          <w:tcPr>
            <w:tcW w:type="dxa" w:w="33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Searchable administrative evidence.</w:t>
            </w:r>
          </w:p>
        </w:tc>
        <w:tc>
          <w:tcPr>
            <w:tcW w:type="dxa" w:w="67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Events, analytics, exports, streaming status, verification and evidence bundles.</w:t>
            </w:r>
          </w:p>
        </w:tc>
      </w:tr>
      <w:tr>
        <w:trPr>
          <w:cantSplit/>
        </w:trPr>
        <w:tc>
          <w:tcPr>
            <w:tcW w:type="dxa" w:w="1800"/>
            <w:tcMar>
              <w:top w:w="90" w:type="dxa"/>
              <w:start w:w="90" w:type="dxa"/>
              <w:bottom w:w="90" w:type="dxa"/>
              <w:end w:w="90" w:type="dxa"/>
            </w:tcMar>
            <w:vAlign w:val="top"/>
          </w:tcPr>
          <w:p>
            <w:pPr>
              <w:spacing w:before="0" w:after="0" w:line="240" w:lineRule="auto"/>
            </w:pPr>
            <w:r>
              <w:rPr>
                <w:rFonts w:ascii="Calibri" w:hAnsi="Calibri"/>
                <w:b w:val="0"/>
                <w:color w:val="110A24"/>
                <w:sz w:val="15"/>
              </w:rPr>
              <w:t>Settings</w:t>
            </w:r>
          </w:p>
        </w:tc>
        <w:tc>
          <w:tcPr>
            <w:tcW w:type="dxa" w:w="3384"/>
            <w:tcMar>
              <w:top w:w="90" w:type="dxa"/>
              <w:start w:w="90" w:type="dxa"/>
              <w:bottom w:w="90" w:type="dxa"/>
              <w:end w:w="90" w:type="dxa"/>
            </w:tcMar>
            <w:vAlign w:val="top"/>
          </w:tcPr>
          <w:p>
            <w:pPr>
              <w:spacing w:before="0" w:after="0" w:line="240" w:lineRule="auto"/>
            </w:pPr>
            <w:r>
              <w:rPr>
                <w:rFonts w:ascii="Calibri" w:hAnsi="Calibri"/>
                <w:b w:val="0"/>
                <w:color w:val="110A24"/>
                <w:sz w:val="15"/>
              </w:rPr>
              <w:t>Apporine control plane configuration.</w:t>
            </w:r>
          </w:p>
        </w:tc>
        <w:tc>
          <w:tcPr>
            <w:tcW w:type="dxa" w:w="6768"/>
            <w:tcMar>
              <w:top w:w="90" w:type="dxa"/>
              <w:start w:w="90" w:type="dxa"/>
              <w:bottom w:w="90" w:type="dxa"/>
              <w:end w:w="90" w:type="dxa"/>
            </w:tcMar>
            <w:vAlign w:val="top"/>
          </w:tcPr>
          <w:p>
            <w:pPr>
              <w:spacing w:before="0" w:after="0" w:line="240" w:lineRule="auto"/>
            </w:pPr>
            <w:r>
              <w:rPr>
                <w:rFonts w:ascii="Calibri" w:hAnsi="Calibri"/>
                <w:b w:val="0"/>
                <w:color w:val="110A24"/>
                <w:sz w:val="15"/>
              </w:rPr>
              <w:t>Organization, products, identity, notification channels, integrations, data policy, environments.</w:t>
            </w:r>
          </w:p>
        </w:tc>
      </w:tr>
    </w:tbl>
    <w:p>
      <w:pPr>
        <w:spacing w:after="20"/>
      </w:pPr>
    </w:p>
    <w:p>
      <w:pPr>
        <w:pStyle w:val="Heading2"/>
        <w:keepNext/>
      </w:pPr>
      <w:r>
        <w:rPr>
          <w:rFonts w:ascii="Calibri" w:hAnsi="Calibri"/>
          <w:b/>
          <w:color w:val="7040FF"/>
          <w:sz w:val="26"/>
        </w:rPr>
        <w:t>4.1 Canonical hierarchy</w:t>
      </w:r>
    </w:p>
    <w:tbl>
      <w:tblPr>
        <w:tblW w:type="auto" w:w="0"/>
        <w:jc w:val="center"/>
        <w:tblLook w:firstColumn="1" w:firstRow="1" w:lastColumn="0" w:lastRow="0" w:noHBand="0" w:noVBand="1" w:val="04A0"/>
      </w:tblPr>
      <w:tblGrid>
        <w:gridCol w:w="10368"/>
      </w:tblGrid>
      <w:tr>
        <w:tc>
          <w:tcPr>
            <w:tcW w:type="dxa" w:w="10368"/>
            <w:shd w:fill="F3F1F6"/>
            <w:tcMar>
              <w:top w:w="120" w:type="dxa"/>
              <w:start w:w="140" w:type="dxa"/>
              <w:bottom w:w="120" w:type="dxa"/>
              <w:end w:w="140" w:type="dxa"/>
            </w:tcMar>
          </w:tcPr>
          <w:p>
            <w:pPr>
              <w:spacing w:before="0" w:after="0" w:line="240" w:lineRule="auto"/>
            </w:pPr>
            <w:r>
              <w:rPr>
                <w:rFonts w:ascii="Consolas" w:hAnsi="Consolas"/>
                <w:color w:val="2D263C"/>
                <w:sz w:val="17"/>
              </w:rPr>
              <w:t>Apporine</w:t>
              <w:br/>
              <w:t xml:space="preserve">    Products</w:t>
              <w:br/>
              <w:t xml:space="preserve">        Customer relationships</w:t>
              <w:br/>
              <w:t xml:space="preserve">            Contracts and subscriptions</w:t>
              <w:br/>
              <w:t xml:space="preserve">                Entitlements</w:t>
              <w:br/>
              <w:t xml:space="preserve">                    Licenses</w:t>
              <w:br/>
              <w:t xml:space="preserve">                        Deployments</w:t>
              <w:br/>
              <w:t xml:space="preserve">                            Release and support state</w:t>
            </w:r>
          </w:p>
        </w:tc>
        <w:trPr>
          <w:tblHeader/>
        </w:trPr>
      </w:tr>
    </w:tbl>
    <w:p>
      <w:pPr>
        <w:spacing w:after="20"/>
      </w:pPr>
    </w:p>
    <w:p>
      <w:pPr>
        <w:spacing w:before="0" w:after="100" w:line="259" w:lineRule="auto"/>
      </w:pPr>
      <w:r>
        <w:rPr>
          <w:rFonts w:ascii="Calibri" w:hAnsi="Calibri"/>
          <w:b w:val="0"/>
          <w:i w:val="0"/>
          <w:color w:val="110A24"/>
          <w:sz w:val="19"/>
        </w:rPr>
        <w:t>Customers and products are many to many. A customer can own several Apporine products. A product can serve many customers. Contacts, commercial ownership, support ownership and deployment ownership are separate relationships.</w:t>
      </w:r>
    </w:p>
    <w:p>
      <w:pPr>
        <w:pStyle w:val="Heading1"/>
        <w:keepNext/>
      </w:pPr>
      <w:r>
        <w:rPr>
          <w:rFonts w:ascii="Calibri" w:hAnsi="Calibri"/>
          <w:b/>
          <w:color w:val="110A24"/>
          <w:sz w:val="36"/>
        </w:rPr>
        <w:t>5. Roles, scopes and segregation of duties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Role</w:t>
            </w:r>
          </w:p>
        </w:tc>
        <w:tc>
          <w:tcPr>
            <w:tcW w:type="dxa" w:w="504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Typical rights</w:t>
            </w:r>
          </w:p>
        </w:tc>
        <w:tc>
          <w:tcPr>
            <w:tcW w:type="dxa" w:w="489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Sensitive restrictions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Executive Viewer</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Read portfolio, customer, product, commercial and risk summaries.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No mutations, no raw sensitive exports.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Portfolio Administrator</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Manage products, customers, ownership metadata and global configuration.</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Cannot issue or revoke licenses without required approval.</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Customer Operations</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Manage customer profile, contacts, lifecycle, deployment metadata and tasks.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Cannot alter signing keys or finance records.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Success</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Manage health, onboarding, success plans, QBR notes and renewal risks.</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license signing or security administration.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Operations</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Manage contracts, subscriptions, renewal metadata and proposed entitlements.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Cannot approve own entitlement or license request when policy requires a second person.</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Finance Viewer</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Read contract value, invoice references, cost and margin reports.</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license or security mutations.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License Operator</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Prepare issue, renew, replace, suspend and revoke requests.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No private key access, cannot self approve controlled actions.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 Approver</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Approve governed licensing changes.</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Cannot approve own request where segregation of duties applies.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Release Manager</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Manage release metadata, compatibility, support windows and promotion state.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Cannot change commercial terms or customer entitlement source.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 Engineer</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Read support metadata, customer technical contacts and approved deployment metadata.</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commercial changes, no standing customer production access.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Security Administrator</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Manage internal roles, access reviews, API clients, key metadata and security settings.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No silent signing or commercial override.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Auditor</w:t>
            </w:r>
          </w:p>
        </w:tc>
        <w:tc>
          <w:tcPr>
            <w:tcW w:type="dxa" w:w="50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Read audit and evidence, run exports.</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Read only, no business mutations.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Platform Administrator</w:t>
            </w:r>
          </w:p>
        </w:tc>
        <w:tc>
          <w:tcPr>
            <w:tcW w:type="dxa" w:w="5040"/>
            <w:tcMar>
              <w:top w:w="90" w:type="dxa"/>
              <w:start w:w="90" w:type="dxa"/>
              <w:bottom w:w="90" w:type="dxa"/>
              <w:end w:w="90" w:type="dxa"/>
            </w:tcMar>
            <w:vAlign w:val="top"/>
          </w:tcPr>
          <w:p>
            <w:pPr>
              <w:spacing w:before="0" w:after="0" w:line="240" w:lineRule="auto"/>
            </w:pPr>
            <w:r>
              <w:rPr>
                <w:rFonts w:ascii="Calibri" w:hAnsi="Calibri"/>
                <w:b w:val="0"/>
                <w:color w:val="110A24"/>
                <w:sz w:val="15"/>
              </w:rPr>
              <w:t>Operate the Apporine control plane infrastructure and runtime.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5"/>
              </w:rPr>
              <w:t>Application data access limited to operational need and audited.</w:t>
            </w:r>
          </w:p>
        </w:tc>
      </w:tr>
    </w:tbl>
    <w:p>
      <w:pPr>
        <w:spacing w:after="20"/>
      </w:pPr>
    </w:p>
    <w:p>
      <w:pPr>
        <w:pStyle w:val="Heading2"/>
        <w:keepNext/>
      </w:pPr>
      <w:r>
        <w:rPr>
          <w:rFonts w:ascii="Calibri" w:hAnsi="Calibri"/>
          <w:b/>
          <w:color w:val="7040FF"/>
          <w:sz w:val="26"/>
        </w:rPr>
        <w:t>5.1 Permission model</w:t>
      </w:r>
    </w:p>
    <w:p>
      <w:pPr>
        <w:pStyle w:val="ListBullet"/>
        <w:spacing w:before="0" w:after="60" w:line="250" w:lineRule="auto"/>
      </w:pPr>
      <w:r>
        <w:rPr>
          <w:rFonts w:ascii="Calibri" w:hAnsi="Calibri"/>
          <w:color w:val="110A24"/>
          <w:sz w:val="18"/>
        </w:rPr>
        <w:t>Permission decisions combine staff role, product scope, customer scope, environment scope and action sensitivity.</w:t>
      </w:r>
    </w:p>
    <w:p>
      <w:pPr>
        <w:pStyle w:val="ListBullet"/>
        <w:spacing w:before="0" w:after="60" w:line="250" w:lineRule="auto"/>
      </w:pPr>
      <w:r>
        <w:rPr>
          <w:rFonts w:ascii="Calibri" w:hAnsi="Calibri"/>
          <w:color w:val="110A24"/>
          <w:sz w:val="18"/>
        </w:rPr>
        <w:t>Production license revocation, signing key rotation, break glass activation, staff privilege elevation and security policy changes support four eyes approval.</w:t>
      </w:r>
    </w:p>
    <w:p>
      <w:pPr>
        <w:pStyle w:val="ListBullet"/>
        <w:spacing w:before="0" w:after="60" w:line="250" w:lineRule="auto"/>
      </w:pPr>
      <w:r>
        <w:rPr>
          <w:rFonts w:ascii="Calibri" w:hAnsi="Calibri"/>
          <w:color w:val="110A24"/>
          <w:sz w:val="18"/>
        </w:rPr>
        <w:t>Time limited role elevation is preferred to permanent broad administrator access.</w:t>
      </w:r>
    </w:p>
    <w:p>
      <w:pPr>
        <w:pStyle w:val="ListBullet"/>
        <w:spacing w:before="0" w:after="60" w:line="250" w:lineRule="auto"/>
      </w:pPr>
      <w:r>
        <w:rPr>
          <w:rFonts w:ascii="Calibri" w:hAnsi="Calibri"/>
          <w:color w:val="110A24"/>
          <w:sz w:val="18"/>
        </w:rPr>
        <w:t>Every staff session records identity source, authentication method, role context and correlation identifiers.</w:t>
      </w:r>
    </w:p>
    <w:p>
      <w:pPr>
        <w:pStyle w:val="ListBullet"/>
        <w:spacing w:before="0" w:after="60" w:line="250" w:lineRule="auto"/>
      </w:pPr>
      <w:r>
        <w:rPr>
          <w:rFonts w:ascii="Calibri" w:hAnsi="Calibri"/>
          <w:color w:val="110A24"/>
          <w:sz w:val="18"/>
        </w:rPr>
        <w:t>Access reviews show unused roles, dormant staff accounts, expired temporary grants and separation of duty conflicts.</w:t>
      </w:r>
    </w:p>
    <w:p>
      <w:pPr>
        <w:pStyle w:val="Heading1"/>
        <w:keepNext/>
      </w:pPr>
      <w:r>
        <w:rPr>
          <w:rFonts w:ascii="Calibri" w:hAnsi="Calibri"/>
          <w:b/>
          <w:color w:val="110A24"/>
          <w:sz w:val="36"/>
        </w:rPr>
        <w:t>6. Visual design system</w:t>
      </w:r>
    </w:p>
    <w:p>
      <w:pPr>
        <w:spacing w:before="0" w:after="100" w:line="259" w:lineRule="auto"/>
      </w:pPr>
      <w:r>
        <w:rPr>
          <w:rFonts w:ascii="Calibri" w:hAnsi="Calibri"/>
          <w:b w:val="0"/>
          <w:i w:val="0"/>
          <w:color w:val="110A24"/>
          <w:sz w:val="19"/>
        </w:rPr>
        <w:t>The control plane should feel precise, calm and expensive. It is an operations product, not a marketing website. Dense information is acceptable when hierarchy is strong. Color is semantic and restrained.</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16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Token</w:t>
            </w:r>
          </w:p>
        </w:tc>
        <w:tc>
          <w:tcPr>
            <w:tcW w:type="dxa" w:w="172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Hex</w:t>
            </w:r>
          </w:p>
        </w:tc>
        <w:tc>
          <w:tcPr>
            <w:tcW w:type="dxa" w:w="80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Use</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Apporine Ink</w:t>
            </w:r>
          </w:p>
        </w:tc>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#110A24</w:t>
            </w:r>
          </w:p>
        </w:tc>
        <w:tc>
          <w:tcPr>
            <w:tcW w:type="dxa" w:w="8064"/>
            <w:tcMar>
              <w:top w:w="90" w:type="dxa"/>
              <w:start w:w="90" w:type="dxa"/>
              <w:bottom w:w="90" w:type="dxa"/>
              <w:end w:w="90" w:type="dxa"/>
            </w:tcMar>
            <w:vAlign w:val="top"/>
          </w:tcPr>
          <w:p>
            <w:pPr>
              <w:spacing w:before="0" w:after="0" w:line="240" w:lineRule="auto"/>
            </w:pPr>
            <w:r>
              <w:rPr>
                <w:rFonts w:ascii="Calibri" w:hAnsi="Calibri"/>
                <w:b w:val="0"/>
                <w:color w:val="110A24"/>
                <w:sz w:val="16"/>
              </w:rPr>
              <w:t>Primary text, dark navigation, high contrast technical surfaces.</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Canvas</w:t>
            </w:r>
          </w:p>
        </w:tc>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#FCFAFF</w:t>
            </w:r>
          </w:p>
        </w:tc>
        <w:tc>
          <w:tcPr>
            <w:tcW w:type="dxa" w:w="80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Primary application background and light surfaces.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Primary Violet</w:t>
            </w:r>
          </w:p>
        </w:tc>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#7040FF</w:t>
            </w:r>
          </w:p>
        </w:tc>
        <w:tc>
          <w:tcPr>
            <w:tcW w:type="dxa" w:w="8064"/>
            <w:tcMar>
              <w:top w:w="90" w:type="dxa"/>
              <w:start w:w="90" w:type="dxa"/>
              <w:bottom w:w="90" w:type="dxa"/>
              <w:end w:w="90" w:type="dxa"/>
            </w:tcMar>
            <w:vAlign w:val="top"/>
          </w:tcPr>
          <w:p>
            <w:pPr>
              <w:spacing w:before="0" w:after="0" w:line="240" w:lineRule="auto"/>
            </w:pPr>
            <w:r>
              <w:rPr>
                <w:rFonts w:ascii="Calibri" w:hAnsi="Calibri"/>
                <w:b w:val="0"/>
                <w:color w:val="110A24"/>
                <w:sz w:val="16"/>
              </w:rPr>
              <w:t>Primary action, active navigation, selected tab, controlled emphasis.</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Accent Cyan</w:t>
            </w:r>
          </w:p>
        </w:tc>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#05DCE8</w:t>
            </w:r>
          </w:p>
        </w:tc>
        <w:tc>
          <w:tcPr>
            <w:tcW w:type="dxa" w:w="80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Keyboard focus, live technical highlight, selected technical state on dark surfaces.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Support Coral</w:t>
            </w:r>
          </w:p>
        </w:tc>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#FF694D</w:t>
            </w:r>
          </w:p>
        </w:tc>
        <w:tc>
          <w:tcPr>
            <w:tcW w:type="dxa" w:w="8064"/>
            <w:tcMar>
              <w:top w:w="90" w:type="dxa"/>
              <w:start w:w="90" w:type="dxa"/>
              <w:bottom w:w="90" w:type="dxa"/>
              <w:end w:w="90" w:type="dxa"/>
            </w:tcMar>
            <w:vAlign w:val="top"/>
          </w:tcPr>
          <w:p>
            <w:pPr>
              <w:spacing w:before="0" w:after="0" w:line="240" w:lineRule="auto"/>
            </w:pPr>
            <w:r>
              <w:rPr>
                <w:rFonts w:ascii="Calibri" w:hAnsi="Calibri"/>
                <w:b w:val="0"/>
                <w:color w:val="110A24"/>
                <w:sz w:val="16"/>
              </w:rPr>
              <w:t>Warning, expiry risk, destructive action emphasis, critical attention.</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Neutral system</w:t>
            </w:r>
          </w:p>
        </w:tc>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Derived from Ink and Canvas</w:t>
            </w:r>
          </w:p>
        </w:tc>
        <w:tc>
          <w:tcPr>
            <w:tcW w:type="dxa" w:w="80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Borders, muted text, table stripes, skeletons and disabled states.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5F3F7"/>
            <w:tcMar>
              <w:top w:w="120" w:type="dxa"/>
              <w:start w:w="160" w:type="dxa"/>
              <w:bottom w:w="120" w:type="dxa"/>
              <w:end w:w="160" w:type="dxa"/>
            </w:tcMar>
            <w:tcBorders>
              <w:left w:val="single" w:sz="18" w:color="D8D4E2"/>
            </w:tcBorders>
          </w:tcPr>
          <w:p>
            <w:pPr>
              <w:spacing w:before="0" w:after="40" w:line="240" w:lineRule="auto"/>
            </w:pPr>
            <w:r>
              <w:rPr>
                <w:rFonts w:ascii="Calibri" w:hAnsi="Calibri"/>
                <w:b/>
                <w:color w:val="110A24"/>
                <w:sz w:val="20"/>
              </w:rPr>
              <w:t>Accessibility rule</w:t>
            </w:r>
          </w:p>
          <w:p>
            <w:pPr>
              <w:spacing w:before="0" w:after="0" w:line="252" w:lineRule="auto"/>
            </w:pPr>
            <w:r>
              <w:rPr>
                <w:rFonts w:ascii="Calibri" w:hAnsi="Calibri"/>
                <w:color w:val="110A24"/>
                <w:sz w:val="18"/>
              </w:rPr>
              <w:t>White text on Primary Violet is allowed. Apporine Ink text on Accent Cyan and Support Coral is preferred. Accent Cyan is not used for body text on Canvas. Status meaning always includes text or icon, never color alone.</w:t>
            </w:r>
          </w:p>
        </w:tc>
      </w:tr>
    </w:tbl>
    <w:p>
      <w:pPr>
        <w:spacing w:after="20"/>
      </w:pPr>
    </w:p>
    <w:p>
      <w:pPr>
        <w:pStyle w:val="Heading2"/>
        <w:keepNext/>
      </w:pPr>
      <w:r>
        <w:rPr>
          <w:rFonts w:ascii="Calibri" w:hAnsi="Calibri"/>
          <w:b/>
          <w:color w:val="7040FF"/>
          <w:sz w:val="26"/>
        </w:rPr>
        <w:t>6.1 Typography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30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Role</w:t>
            </w:r>
          </w:p>
        </w:tc>
        <w:tc>
          <w:tcPr>
            <w:tcW w:type="dxa" w:w="309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Typeface</w:t>
            </w:r>
          </w:p>
        </w:tc>
        <w:tc>
          <w:tcPr>
            <w:tcW w:type="dxa" w:w="324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Size and line height</w:t>
            </w:r>
          </w:p>
        </w:tc>
        <w:tc>
          <w:tcPr>
            <w:tcW w:type="dxa" w:w="288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Weight</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Page title</w:t>
            </w:r>
          </w:p>
        </w:tc>
        <w:tc>
          <w:tcPr>
            <w:tcW w:type="dxa" w:w="3096"/>
            <w:tcMar>
              <w:top w:w="90" w:type="dxa"/>
              <w:start w:w="90" w:type="dxa"/>
              <w:bottom w:w="90" w:type="dxa"/>
              <w:end w:w="90" w:type="dxa"/>
            </w:tcMar>
            <w:vAlign w:val="top"/>
          </w:tcPr>
          <w:p>
            <w:pPr>
              <w:spacing w:before="0" w:after="0" w:line="240" w:lineRule="auto"/>
            </w:pPr>
            <w:r>
              <w:rPr>
                <w:rFonts w:ascii="Calibri" w:hAnsi="Calibri"/>
                <w:b w:val="0"/>
                <w:color w:val="110A24"/>
                <w:sz w:val="16"/>
              </w:rPr>
              <w:t>Inter, system sans fallback</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6"/>
              </w:rPr>
              <w:t>24 / 32 px</w:t>
            </w:r>
          </w:p>
        </w:tc>
        <w:tc>
          <w:tcPr>
            <w:tcW w:type="dxa" w:w="2880"/>
            <w:tcMar>
              <w:top w:w="90" w:type="dxa"/>
              <w:start w:w="90" w:type="dxa"/>
              <w:bottom w:w="90" w:type="dxa"/>
              <w:end w:w="90" w:type="dxa"/>
            </w:tcMar>
            <w:vAlign w:val="top"/>
          </w:tcPr>
          <w:p>
            <w:pPr>
              <w:spacing w:before="0" w:after="0" w:line="240" w:lineRule="auto"/>
            </w:pPr>
            <w:r>
              <w:rPr>
                <w:rFonts w:ascii="Calibri" w:hAnsi="Calibri"/>
                <w:b w:val="0"/>
                <w:color w:val="110A24"/>
                <w:sz w:val="16"/>
              </w:rPr>
              <w:t>600</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Section title</w:t>
            </w:r>
          </w:p>
        </w:tc>
        <w:tc>
          <w:tcPr>
            <w:tcW w:type="dxa" w:w="30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18 / 26 px</w:t>
            </w:r>
          </w:p>
        </w:tc>
        <w:tc>
          <w:tcPr>
            <w:tcW w:type="dxa" w:w="28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600</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Card or table title</w:t>
            </w:r>
          </w:p>
        </w:tc>
        <w:tc>
          <w:tcPr>
            <w:tcW w:type="dxa" w:w="3096"/>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6"/>
              </w:rPr>
              <w:t>14 / 20 px</w:t>
            </w:r>
          </w:p>
        </w:tc>
        <w:tc>
          <w:tcPr>
            <w:tcW w:type="dxa" w:w="2880"/>
            <w:tcMar>
              <w:top w:w="90" w:type="dxa"/>
              <w:start w:w="90" w:type="dxa"/>
              <w:bottom w:w="90" w:type="dxa"/>
              <w:end w:w="90" w:type="dxa"/>
            </w:tcMar>
            <w:vAlign w:val="top"/>
          </w:tcPr>
          <w:p>
            <w:pPr>
              <w:spacing w:before="0" w:after="0" w:line="240" w:lineRule="auto"/>
            </w:pPr>
            <w:r>
              <w:rPr>
                <w:rFonts w:ascii="Calibri" w:hAnsi="Calibri"/>
                <w:b w:val="0"/>
                <w:color w:val="110A24"/>
                <w:sz w:val="16"/>
              </w:rPr>
              <w:t>600</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Body</w:t>
            </w:r>
          </w:p>
        </w:tc>
        <w:tc>
          <w:tcPr>
            <w:tcW w:type="dxa" w:w="30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14 / 20 px</w:t>
            </w:r>
          </w:p>
        </w:tc>
        <w:tc>
          <w:tcPr>
            <w:tcW w:type="dxa" w:w="28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400</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Dense table and metadata</w:t>
            </w:r>
          </w:p>
        </w:tc>
        <w:tc>
          <w:tcPr>
            <w:tcW w:type="dxa" w:w="3096"/>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6"/>
              </w:rPr>
              <w:t>12 or 13 / 18 px</w:t>
            </w:r>
          </w:p>
        </w:tc>
        <w:tc>
          <w:tcPr>
            <w:tcW w:type="dxa" w:w="2880"/>
            <w:tcMar>
              <w:top w:w="90" w:type="dxa"/>
              <w:start w:w="90" w:type="dxa"/>
              <w:bottom w:w="90" w:type="dxa"/>
              <w:end w:w="90" w:type="dxa"/>
            </w:tcMar>
            <w:vAlign w:val="top"/>
          </w:tcPr>
          <w:p>
            <w:pPr>
              <w:spacing w:before="0" w:after="0" w:line="240" w:lineRule="auto"/>
            </w:pPr>
            <w:r>
              <w:rPr>
                <w:rFonts w:ascii="Calibri" w:hAnsi="Calibri"/>
                <w:b w:val="0"/>
                <w:color w:val="110A24"/>
                <w:sz w:val="16"/>
              </w:rPr>
              <w:t>400 or 500</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Button</w:t>
            </w:r>
          </w:p>
        </w:tc>
        <w:tc>
          <w:tcPr>
            <w:tcW w:type="dxa" w:w="30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14 / 20 px</w:t>
            </w:r>
          </w:p>
        </w:tc>
        <w:tc>
          <w:tcPr>
            <w:tcW w:type="dxa" w:w="28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600</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Large metric</w:t>
            </w:r>
          </w:p>
        </w:tc>
        <w:tc>
          <w:tcPr>
            <w:tcW w:type="dxa" w:w="3096"/>
            <w:tcMar>
              <w:top w:w="90" w:type="dxa"/>
              <w:start w:w="90" w:type="dxa"/>
              <w:bottom w:w="90" w:type="dxa"/>
              <w:end w:w="90" w:type="dxa"/>
            </w:tcMar>
            <w:vAlign w:val="top"/>
          </w:tcPr>
          <w:p>
            <w:pPr>
              <w:spacing w:before="0" w:after="0" w:line="240" w:lineRule="auto"/>
            </w:pPr>
            <w:r>
              <w:rPr>
                <w:rFonts w:ascii="Calibri" w:hAnsi="Calibri"/>
                <w:b w:val="0"/>
                <w:color w:val="110A24"/>
                <w:sz w:val="16"/>
              </w:rPr>
              <w:t>Inter</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6"/>
              </w:rPr>
              <w:t>28 / 34 px</w:t>
            </w:r>
          </w:p>
        </w:tc>
        <w:tc>
          <w:tcPr>
            <w:tcW w:type="dxa" w:w="2880"/>
            <w:tcMar>
              <w:top w:w="90" w:type="dxa"/>
              <w:start w:w="90" w:type="dxa"/>
              <w:bottom w:w="90" w:type="dxa"/>
              <w:end w:w="90" w:type="dxa"/>
            </w:tcMar>
            <w:vAlign w:val="top"/>
          </w:tcPr>
          <w:p>
            <w:pPr>
              <w:spacing w:before="0" w:after="0" w:line="240" w:lineRule="auto"/>
            </w:pPr>
            <w:r>
              <w:rPr>
                <w:rFonts w:ascii="Calibri" w:hAnsi="Calibri"/>
                <w:b w:val="0"/>
                <w:color w:val="110A24"/>
                <w:sz w:val="16"/>
              </w:rPr>
              <w:t>600</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IDs, digests and code</w:t>
            </w:r>
          </w:p>
        </w:tc>
        <w:tc>
          <w:tcPr>
            <w:tcW w:type="dxa" w:w="30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IBM Plex Mono or system monospace</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12 / 18 px</w:t>
            </w:r>
          </w:p>
        </w:tc>
        <w:tc>
          <w:tcPr>
            <w:tcW w:type="dxa" w:w="28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400</w:t>
            </w:r>
          </w:p>
        </w:tc>
      </w:tr>
    </w:tbl>
    <w:p>
      <w:pPr>
        <w:spacing w:after="20"/>
      </w:pPr>
    </w:p>
    <w:p>
      <w:pPr>
        <w:pStyle w:val="Heading2"/>
        <w:keepNext/>
      </w:pPr>
      <w:r>
        <w:rPr>
          <w:rFonts w:ascii="Calibri" w:hAnsi="Calibri"/>
          <w:b/>
          <w:color w:val="7040FF"/>
          <w:sz w:val="26"/>
        </w:rPr>
        <w:t>6.2 Layout and component rules</w:t>
      </w:r>
    </w:p>
    <w:p>
      <w:pPr>
        <w:pStyle w:val="ListBullet"/>
        <w:spacing w:before="0" w:after="60" w:line="250" w:lineRule="auto"/>
      </w:pPr>
      <w:r>
        <w:rPr>
          <w:rFonts w:ascii="Calibri" w:hAnsi="Calibri"/>
          <w:color w:val="110A24"/>
          <w:sz w:val="18"/>
        </w:rPr>
        <w:t>Base spacing grid is 4 px. Standard gaps are 8, 12, 16, 24 and 32 px.</w:t>
      </w:r>
    </w:p>
    <w:p>
      <w:pPr>
        <w:pStyle w:val="ListBullet"/>
        <w:spacing w:before="0" w:after="60" w:line="250" w:lineRule="auto"/>
      </w:pPr>
      <w:r>
        <w:rPr>
          <w:rFonts w:ascii="Calibri" w:hAnsi="Calibri"/>
          <w:color w:val="110A24"/>
          <w:sz w:val="18"/>
        </w:rPr>
        <w:t>Desktop first, primary target is 1440 px and above, supported operational width begins at 1024 px.</w:t>
      </w:r>
    </w:p>
    <w:p>
      <w:pPr>
        <w:pStyle w:val="ListBullet"/>
        <w:spacing w:before="0" w:after="60" w:line="250" w:lineRule="auto"/>
      </w:pPr>
      <w:r>
        <w:rPr>
          <w:rFonts w:ascii="Calibri" w:hAnsi="Calibri"/>
          <w:color w:val="110A24"/>
          <w:sz w:val="18"/>
        </w:rPr>
        <w:t>Left navigation is 248 px, collapsible to a 72 px icon rail. Top bar is 56 px.</w:t>
      </w:r>
    </w:p>
    <w:p>
      <w:pPr>
        <w:pStyle w:val="ListBullet"/>
        <w:spacing w:before="0" w:after="60" w:line="250" w:lineRule="auto"/>
      </w:pPr>
      <w:r>
        <w:rPr>
          <w:rFonts w:ascii="Calibri" w:hAnsi="Calibri"/>
          <w:color w:val="110A24"/>
          <w:sz w:val="18"/>
        </w:rPr>
        <w:t>Cards use 10 px radius, thin neutral border and minimal shadow. Avoid floating glass effects.</w:t>
      </w:r>
    </w:p>
    <w:p>
      <w:pPr>
        <w:pStyle w:val="ListBullet"/>
        <w:spacing w:before="0" w:after="60" w:line="250" w:lineRule="auto"/>
      </w:pPr>
      <w:r>
        <w:rPr>
          <w:rFonts w:ascii="Calibri" w:hAnsi="Calibri"/>
          <w:color w:val="110A24"/>
          <w:sz w:val="18"/>
        </w:rPr>
        <w:t>Tables are primary enterprise components, support sticky headers, pinned columns, density control, filters, column manager and authorized export.</w:t>
      </w:r>
    </w:p>
    <w:p>
      <w:pPr>
        <w:pStyle w:val="ListBullet"/>
        <w:spacing w:before="0" w:after="60" w:line="250" w:lineRule="auto"/>
      </w:pPr>
      <w:r>
        <w:rPr>
          <w:rFonts w:ascii="Calibri" w:hAnsi="Calibri"/>
          <w:color w:val="110A24"/>
          <w:sz w:val="18"/>
        </w:rPr>
        <w:t>Charts use one dominant series color, neutral comparison series, Cyan for selected technical context and Coral only for risk or failure.</w:t>
      </w:r>
    </w:p>
    <w:p>
      <w:pPr>
        <w:pStyle w:val="ListBullet"/>
        <w:spacing w:before="0" w:after="60" w:line="250" w:lineRule="auto"/>
      </w:pPr>
      <w:r>
        <w:rPr>
          <w:rFonts w:ascii="Calibri" w:hAnsi="Calibri"/>
          <w:color w:val="110A24"/>
          <w:sz w:val="18"/>
        </w:rPr>
        <w:t>Primary buttons use Violet with white text. Secondary buttons use Canvas with Ink border. Destructive confirmation uses Coral with Ink text and explicit reason.</w:t>
      </w:r>
    </w:p>
    <w:p>
      <w:pPr>
        <w:pStyle w:val="ListBullet"/>
        <w:spacing w:before="0" w:after="60" w:line="250" w:lineRule="auto"/>
      </w:pPr>
      <w:r>
        <w:rPr>
          <w:rFonts w:ascii="Calibri" w:hAnsi="Calibri"/>
          <w:color w:val="110A24"/>
          <w:sz w:val="18"/>
        </w:rPr>
        <w:t>IDs, signatures, digests and license fingerprints use monospace and one click copy.</w:t>
      </w:r>
    </w:p>
    <w:p>
      <w:pPr>
        <w:pStyle w:val="ListBullet"/>
        <w:spacing w:before="0" w:after="60" w:line="250" w:lineRule="auto"/>
      </w:pPr>
      <w:r>
        <w:rPr>
          <w:rFonts w:ascii="Calibri" w:hAnsi="Calibri"/>
          <w:color w:val="110A24"/>
          <w:sz w:val="18"/>
        </w:rPr>
        <w:t>Important mutations show a summary of impact before confirmation.</w:t>
      </w:r>
    </w:p>
    <w:p>
      <w:pPr>
        <w:pStyle w:val="Heading1"/>
        <w:keepNext/>
      </w:pPr>
      <w:r>
        <w:rPr>
          <w:rFonts w:ascii="Calibri" w:hAnsi="Calibri"/>
          <w:b/>
          <w:color w:val="110A24"/>
          <w:sz w:val="36"/>
        </w:rPr>
        <w:t>7. Global shell, search and command palette</w:t>
      </w:r>
    </w:p>
    <w:p>
      <w:pPr>
        <w:spacing w:before="0" w:after="100" w:line="259" w:lineRule="auto"/>
      </w:pPr>
      <w:r>
        <w:rPr>
          <w:rFonts w:ascii="Calibri" w:hAnsi="Calibri"/>
          <w:b w:val="0"/>
          <w:i w:val="0"/>
          <w:color w:val="110A24"/>
          <w:sz w:val="19"/>
        </w:rPr>
        <w:t>The global shell must make any object reachable without navigating a long menu tree.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Element</w:t>
            </w:r>
          </w:p>
        </w:tc>
        <w:tc>
          <w:tcPr>
            <w:tcW w:type="dxa" w:w="96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Left navigation</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Apporine mark, environment indicator, Home, Products, Customers, Commercial, Licensing, Deployments, Releases, Success, Approvals, Analytics, Security, Audit, Settings.</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Top bar</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Global search, command palette shortcut, current environment, pending approvals count, operational notifications, help and staff menu.</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Product switcher</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Optional filter that narrows portfolio views to Relyxus or another product. It never changes authorization scope silently.</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Environment badge</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PRODUCTION, STAGING or DEVELOPMENT, always visible. Production uses Ink surface with Coral indicator and explicit text.</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color w:val="110A24"/>
                <w:sz w:val="16"/>
              </w:rPr>
              <w:t>Breadcrumb</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Shows object hierarchy and allows fast return to Customer 360 or Product page.</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Right context rail</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Optional on detail pages, shows next actions, owner, risk, recent audit and related records.</w:t>
            </w:r>
          </w:p>
        </w:tc>
      </w:tr>
    </w:tbl>
    <w:p>
      <w:pPr>
        <w:spacing w:after="20"/>
      </w:pPr>
    </w:p>
    <w:p>
      <w:pPr>
        <w:pStyle w:val="Heading2"/>
        <w:keepNext/>
      </w:pPr>
      <w:r>
        <w:rPr>
          <w:rFonts w:ascii="Calibri" w:hAnsi="Calibri"/>
          <w:b/>
          <w:color w:val="7040FF"/>
          <w:sz w:val="26"/>
        </w:rPr>
        <w:t>7.1 Search grammar</w:t>
      </w:r>
    </w:p>
    <w:p>
      <w:pPr>
        <w:spacing w:before="0" w:after="100" w:line="259" w:lineRule="auto"/>
      </w:pPr>
      <w:r>
        <w:rPr>
          <w:rFonts w:ascii="Calibri" w:hAnsi="Calibri"/>
          <w:b w:val="0"/>
          <w:i w:val="0"/>
          <w:color w:val="110A24"/>
          <w:sz w:val="19"/>
        </w:rPr>
        <w:t>Search should accept natural identifiers and structured filters. Examples are illustrative contracts for implementation.</w:t>
      </w:r>
    </w:p>
    <w:tbl>
      <w:tblPr>
        <w:tblW w:type="auto" w:w="0"/>
        <w:jc w:val="center"/>
        <w:tblLook w:firstColumn="1" w:firstRow="1" w:lastColumn="0" w:lastRow="0" w:noHBand="0" w:noVBand="1" w:val="04A0"/>
      </w:tblPr>
      <w:tblGrid>
        <w:gridCol w:w="10368"/>
      </w:tblGrid>
      <w:tr>
        <w:tc>
          <w:tcPr>
            <w:tcW w:type="dxa" w:w="10368"/>
            <w:shd w:fill="F3F1F6"/>
            <w:tcMar>
              <w:top w:w="120" w:type="dxa"/>
              <w:start w:w="140" w:type="dxa"/>
              <w:bottom w:w="120" w:type="dxa"/>
              <w:end w:w="140" w:type="dxa"/>
            </w:tcMar>
          </w:tcPr>
          <w:p>
            <w:pPr>
              <w:spacing w:before="0" w:after="0" w:line="240" w:lineRule="auto"/>
            </w:pPr>
            <w:r>
              <w:rPr>
                <w:rFonts w:ascii="Consolas" w:hAnsi="Consolas"/>
                <w:color w:val="2D263C"/>
                <w:sz w:val="17"/>
              </w:rPr>
              <w:t>Acme Bank</w:t>
              <w:br/>
              <w:t>customer:acme</w:t>
              <w:br/>
              <w:t>license:LIC_00421</w:t>
              <w:br/>
              <w:t>deployment:prod</w:t>
              <w:br/>
              <w:t>product:relyxus status:active</w:t>
              <w:br/>
              <w:t>release:2.3.1</w:t>
              <w:br/>
              <w:t>contact:security@example.com</w:t>
            </w:r>
          </w:p>
        </w:tc>
        <w:trPr>
          <w:tblHeader/>
        </w:trPr>
      </w:tr>
    </w:tbl>
    <w:p>
      <w:pPr>
        <w:spacing w:after="20"/>
      </w:pPr>
    </w:p>
    <w:p>
      <w:pPr>
        <w:pStyle w:val="ListBullet"/>
        <w:spacing w:before="0" w:after="60" w:line="250" w:lineRule="auto"/>
      </w:pPr>
      <w:r>
        <w:rPr>
          <w:rFonts w:ascii="Calibri" w:hAnsi="Calibri"/>
          <w:color w:val="110A24"/>
          <w:sz w:val="18"/>
        </w:rPr>
        <w:t>Search across customer name, customer ID, legal name, contact email, contract number, license ID, deployment ID, release version and product.</w:t>
      </w:r>
    </w:p>
    <w:p>
      <w:pPr>
        <w:pStyle w:val="ListBullet"/>
        <w:spacing w:before="0" w:after="60" w:line="250" w:lineRule="auto"/>
      </w:pPr>
      <w:r>
        <w:rPr>
          <w:rFonts w:ascii="Calibri" w:hAnsi="Calibri"/>
          <w:color w:val="110A24"/>
          <w:sz w:val="18"/>
        </w:rPr>
        <w:t>Results are grouped by object type and permission filtered.</w:t>
      </w:r>
    </w:p>
    <w:p>
      <w:pPr>
        <w:pStyle w:val="ListBullet"/>
        <w:spacing w:before="0" w:after="60" w:line="250" w:lineRule="auto"/>
      </w:pPr>
      <w:r>
        <w:rPr>
          <w:rFonts w:ascii="Calibri" w:hAnsi="Calibri"/>
          <w:color w:val="110A24"/>
          <w:sz w:val="18"/>
        </w:rPr>
        <w:t>Command palette provides quick actions such as Create customer, Create contract, Issue license request, Add deployment, Create task, Open approval queue.</w:t>
      </w:r>
    </w:p>
    <w:p>
      <w:pPr>
        <w:pStyle w:val="ListBullet"/>
        <w:spacing w:before="0" w:after="60" w:line="250" w:lineRule="auto"/>
      </w:pPr>
      <w:r>
        <w:rPr>
          <w:rFonts w:ascii="Calibri" w:hAnsi="Calibri"/>
          <w:color w:val="110A24"/>
          <w:sz w:val="18"/>
        </w:rPr>
        <w:t>High impact actions never execute directly from search without the same confirmation and approval flow used on detail screens.</w:t>
      </w:r>
    </w:p>
    <w:p>
      <w:pPr>
        <w:pStyle w:val="Heading1"/>
        <w:keepNext/>
      </w:pPr>
      <w:r>
        <w:rPr>
          <w:rFonts w:ascii="Calibri" w:hAnsi="Calibri"/>
          <w:b/>
          <w:color w:val="110A24"/>
          <w:sz w:val="36"/>
        </w:rPr>
        <w:t>8. Portfolio command center</w:t>
      </w:r>
    </w:p>
    <w:p>
      <w:pPr>
        <w:spacing w:before="0" w:after="100" w:line="259" w:lineRule="auto"/>
      </w:pPr>
      <w:r>
        <w:rPr>
          <w:rFonts w:ascii="Calibri" w:hAnsi="Calibri"/>
          <w:b w:val="0"/>
          <w:i w:val="0"/>
          <w:color w:val="110A24"/>
          <w:sz w:val="19"/>
        </w:rPr>
        <w:t>Home is a command center, not a vanity dashboard. It answers what needs attention today, what is changing, where risk is accumulating and how the Apporine portfolio is performing.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16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Widget</w:t>
            </w:r>
          </w:p>
        </w:tc>
        <w:tc>
          <w:tcPr>
            <w:tcW w:type="dxa" w:w="259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Visualization</w:t>
            </w:r>
          </w:p>
        </w:tc>
        <w:tc>
          <w:tcPr>
            <w:tcW w:type="dxa" w:w="720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Content and behavior</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Active customers</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Metric card with trend</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Current active customer count, new this month, drill to filtered customer list.</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Annual contract value</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Metric card with trend</w:t>
            </w:r>
          </w:p>
        </w:tc>
        <w:tc>
          <w:tcPr>
            <w:tcW w:type="dxa" w:w="72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Total active annual contract value from approved commercial records, optional if finance scope is enabled.</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Renewals in 120 days</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Metric plus aging bar</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Count and value, grouped by 30, 60, 90 and 120 day windows, drill to renewal radar.</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Production deployments</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Metric card</w:t>
            </w:r>
          </w:p>
        </w:tc>
        <w:tc>
          <w:tcPr>
            <w:tcW w:type="dxa" w:w="72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Count of supported production deployments and count on unsupported releases.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License risk</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Metric plus sparkline</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Expiring, grace, suspended, failed verification, entitlement drift.</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Pending approvals</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Metric plus aging</w:t>
            </w:r>
          </w:p>
        </w:tc>
        <w:tc>
          <w:tcPr>
            <w:tcW w:type="dxa" w:w="72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Requests awaiting decision, oldest age, high impact count.</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Customer health</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Distribution and trend</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Healthy, watch, at risk, critical, with count and value exposure. Text and icons always accompany color.</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Release exposure</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Horizontal bars</w:t>
            </w:r>
          </w:p>
        </w:tc>
        <w:tc>
          <w:tcPr>
            <w:tcW w:type="dxa" w:w="72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Customers and deployments on each supported release, with end of support risk.</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Cost to serve</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Trend and table</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Apporine infrastructure cost, support hours and allocated operational cost by product and customer where data exists.</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Audit activity</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Line plus summary</w:t>
            </w:r>
          </w:p>
        </w:tc>
        <w:tc>
          <w:tcPr>
            <w:tcW w:type="dxa" w:w="72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Total admin actions, unique actors, affected products, failure rate and high risk events.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5"/>
              </w:rPr>
              <w:t>Operational inbox</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Prioritized list</w:t>
            </w:r>
          </w:p>
        </w:tc>
        <w:tc>
          <w:tcPr>
            <w:tcW w:type="dxa" w:w="7200"/>
            <w:tcMar>
              <w:top w:w="90" w:type="dxa"/>
              <w:start w:w="90" w:type="dxa"/>
              <w:bottom w:w="90" w:type="dxa"/>
              <w:end w:w="90" w:type="dxa"/>
            </w:tcMar>
            <w:vAlign w:val="top"/>
          </w:tcPr>
          <w:p>
            <w:pPr>
              <w:spacing w:before="0" w:after="0" w:line="240" w:lineRule="auto"/>
            </w:pPr>
            <w:r>
              <w:rPr>
                <w:rFonts w:ascii="Calibri" w:hAnsi="Calibri"/>
                <w:b w:val="0"/>
                <w:color w:val="110A24"/>
                <w:sz w:val="15"/>
              </w:rPr>
              <w:t>License expiry, renewal tasks, failed refresh, unsupported deployment, missing customer owner, overdue onboarding, unresolved approval.</w:t>
            </w:r>
          </w:p>
        </w:tc>
      </w:tr>
    </w:tbl>
    <w:p>
      <w:pPr>
        <w:spacing w:after="20"/>
      </w:pPr>
    </w:p>
    <w:p>
      <w:pPr>
        <w:pStyle w:val="Heading2"/>
        <w:keepNext/>
      </w:pPr>
      <w:r>
        <w:rPr>
          <w:rFonts w:ascii="Calibri" w:hAnsi="Calibri"/>
          <w:b/>
          <w:color w:val="7040FF"/>
          <w:sz w:val="26"/>
        </w:rPr>
        <w:t>8.1 Portfolio dashboard content contract</w:t>
      </w:r>
    </w:p>
    <w:p>
      <w:pPr>
        <w:pStyle w:val="ListBullet"/>
        <w:spacing w:before="0" w:after="60" w:line="250" w:lineRule="auto"/>
      </w:pPr>
      <w:r>
        <w:rPr>
          <w:rFonts w:ascii="Calibri" w:hAnsi="Calibri"/>
          <w:color w:val="110A24"/>
          <w:sz w:val="18"/>
        </w:rPr>
        <w:t>Page title: Portfolio command center.</w:t>
      </w:r>
    </w:p>
    <w:p>
      <w:pPr>
        <w:pStyle w:val="ListBullet"/>
        <w:spacing w:before="0" w:after="60" w:line="250" w:lineRule="auto"/>
      </w:pPr>
      <w:r>
        <w:rPr>
          <w:rFonts w:ascii="Calibri" w:hAnsi="Calibri"/>
          <w:color w:val="110A24"/>
          <w:sz w:val="18"/>
        </w:rPr>
        <w:t>Primary action: Create customer.</w:t>
      </w:r>
    </w:p>
    <w:p>
      <w:pPr>
        <w:pStyle w:val="ListBullet"/>
        <w:spacing w:before="0" w:after="60" w:line="250" w:lineRule="auto"/>
      </w:pPr>
      <w:r>
        <w:rPr>
          <w:rFonts w:ascii="Calibri" w:hAnsi="Calibri"/>
          <w:color w:val="110A24"/>
          <w:sz w:val="18"/>
        </w:rPr>
        <w:t>Secondary actions: Create task, Open approvals, Export portfolio summary.</w:t>
      </w:r>
    </w:p>
    <w:p>
      <w:pPr>
        <w:pStyle w:val="ListBullet"/>
        <w:spacing w:before="0" w:after="60" w:line="250" w:lineRule="auto"/>
      </w:pPr>
      <w:r>
        <w:rPr>
          <w:rFonts w:ascii="Calibri" w:hAnsi="Calibri"/>
          <w:color w:val="110A24"/>
          <w:sz w:val="18"/>
        </w:rPr>
        <w:t>Filter bar: Product, customer segment, lifecycle stage, region, owner, risk, date range.</w:t>
      </w:r>
    </w:p>
    <w:p>
      <w:pPr>
        <w:pStyle w:val="ListBullet"/>
        <w:spacing w:before="0" w:after="60" w:line="250" w:lineRule="auto"/>
      </w:pPr>
      <w:r>
        <w:rPr>
          <w:rFonts w:ascii="Calibri" w:hAnsi="Calibri"/>
          <w:color w:val="110A24"/>
          <w:sz w:val="18"/>
        </w:rPr>
        <w:t>No chart may display more than five saturated colors. Prefer one Violet series, neutral comparisons, Cyan selection and Coral risk.</w:t>
      </w:r>
    </w:p>
    <w:p>
      <w:pPr>
        <w:pStyle w:val="ListBullet"/>
        <w:spacing w:before="0" w:after="60" w:line="250" w:lineRule="auto"/>
      </w:pPr>
      <w:r>
        <w:rPr>
          <w:rFonts w:ascii="Calibri" w:hAnsi="Calibri"/>
          <w:color w:val="110A24"/>
          <w:sz w:val="18"/>
        </w:rPr>
        <w:t>Every metric and chart supports drill through to the exact records behind the number.</w:t>
      </w:r>
    </w:p>
    <w:p>
      <w:pPr>
        <w:pStyle w:val="Heading1"/>
        <w:keepNext/>
      </w:pPr>
      <w:r>
        <w:rPr>
          <w:rFonts w:ascii="Calibri" w:hAnsi="Calibri"/>
          <w:b/>
          <w:color w:val="110A24"/>
          <w:sz w:val="36"/>
        </w:rPr>
        <w:t>9. Product portfolio</w:t>
      </w:r>
    </w:p>
    <w:p>
      <w:pPr>
        <w:pStyle w:val="ListBullet"/>
        <w:spacing w:before="0" w:after="60" w:line="250" w:lineRule="auto"/>
      </w:pPr>
      <w:r>
        <w:rPr>
          <w:rFonts w:ascii="Calibri" w:hAnsi="Calibri"/>
          <w:color w:val="110A24"/>
          <w:sz w:val="18"/>
        </w:rPr>
        <w:t>Product overview shows product name, code, status, product owner, support model, active customers, active deployments and current release train.</w:t>
      </w:r>
    </w:p>
    <w:p>
      <w:pPr>
        <w:pStyle w:val="ListBullet"/>
        <w:spacing w:before="0" w:after="60" w:line="250" w:lineRule="auto"/>
      </w:pPr>
      <w:r>
        <w:rPr>
          <w:rFonts w:ascii="Calibri" w:hAnsi="Calibri"/>
          <w:color w:val="110A24"/>
          <w:sz w:val="18"/>
        </w:rPr>
        <w:t>Entitlement catalog contains stable machine key, display name, type, default, commercial meaning, security classification and deprecation status.</w:t>
      </w:r>
    </w:p>
    <w:p>
      <w:pPr>
        <w:pStyle w:val="ListBullet"/>
        <w:spacing w:before="0" w:after="60" w:line="250" w:lineRule="auto"/>
      </w:pPr>
      <w:r>
        <w:rPr>
          <w:rFonts w:ascii="Calibri" w:hAnsi="Calibri"/>
          <w:color w:val="110A24"/>
          <w:sz w:val="18"/>
        </w:rPr>
        <w:t>Release train links each release to OCI digest, package metadata, SBOM, signatures, compatibility and support window.</w:t>
      </w:r>
    </w:p>
    <w:p>
      <w:pPr>
        <w:pStyle w:val="ListBullet"/>
        <w:spacing w:before="0" w:after="60" w:line="250" w:lineRule="auto"/>
      </w:pPr>
      <w:r>
        <w:rPr>
          <w:rFonts w:ascii="Calibri" w:hAnsi="Calibri"/>
          <w:color w:val="110A24"/>
          <w:sz w:val="18"/>
        </w:rPr>
        <w:t>Product customers page shows customer count, annual contract value, active licenses, deployments, renewal exposure and support burden.</w:t>
      </w:r>
    </w:p>
    <w:p>
      <w:pPr>
        <w:pStyle w:val="ListBullet"/>
        <w:spacing w:before="0" w:after="60" w:line="250" w:lineRule="auto"/>
      </w:pPr>
      <w:r>
        <w:rPr>
          <w:rFonts w:ascii="Calibri" w:hAnsi="Calibri"/>
          <w:color w:val="110A24"/>
          <w:sz w:val="18"/>
        </w:rPr>
        <w:t>Future products appear from Product records without creating new top level applications.</w:t>
      </w:r>
    </w:p>
    <w:p>
      <w:pPr>
        <w:pStyle w:val="Heading1"/>
        <w:keepNext/>
      </w:pPr>
      <w:r>
        <w:rPr>
          <w:rFonts w:ascii="Calibri" w:hAnsi="Calibri"/>
          <w:b/>
          <w:color w:val="110A24"/>
          <w:sz w:val="36"/>
        </w:rPr>
        <w:t>10. Customer 360</w:t>
      </w:r>
    </w:p>
    <w:p>
      <w:pPr>
        <w:spacing w:before="0" w:after="100" w:line="259" w:lineRule="auto"/>
      </w:pPr>
      <w:r>
        <w:rPr>
          <w:rFonts w:ascii="Calibri" w:hAnsi="Calibri"/>
          <w:b w:val="0"/>
          <w:i w:val="0"/>
          <w:color w:val="110A24"/>
          <w:sz w:val="19"/>
        </w:rPr>
        <w:t>Customer 360 is the main operational workspace for one customer. An authorized operator should understand the relationship, commercial state, licensed rights, deployment state, support load, health and next action without opening five systems.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4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Customer field group</w:t>
            </w:r>
          </w:p>
        </w:tc>
        <w:tc>
          <w:tcPr>
            <w:tcW w:type="dxa" w:w="950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or recommended fields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6"/>
              </w:rPr>
              <w:t>Identity</w:t>
            </w:r>
          </w:p>
        </w:tc>
        <w:tc>
          <w:tcPr>
            <w:tcW w:type="dxa" w:w="9504"/>
            <w:tcMar>
              <w:top w:w="90" w:type="dxa"/>
              <w:start w:w="90" w:type="dxa"/>
              <w:bottom w:w="90" w:type="dxa"/>
              <w:end w:w="90" w:type="dxa"/>
            </w:tcMar>
            <w:vAlign w:val="top"/>
          </w:tcPr>
          <w:p>
            <w:pPr>
              <w:spacing w:before="0" w:after="0" w:line="240" w:lineRule="auto"/>
            </w:pPr>
            <w:r>
              <w:rPr>
                <w:rFonts w:ascii="Calibri" w:hAnsi="Calibri"/>
                <w:b w:val="0"/>
                <w:color w:val="110A24"/>
                <w:sz w:val="16"/>
              </w:rPr>
              <w:t>Customer ID, legal name, display name, account status, parent account, account type, industry, website, headquarters country, billing country, company registration reference, optional DUNS.</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Lifecycle</w:t>
            </w:r>
          </w:p>
        </w:tc>
        <w:tc>
          <w:tcPr>
            <w:tcW w:type="dxa" w:w="95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Lifecycle stage, customer since, onboarding stage, go live date, next renewal, relationship status, termination date if applicable.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6"/>
              </w:rPr>
              <w:t>Ownership</w:t>
            </w:r>
          </w:p>
        </w:tc>
        <w:tc>
          <w:tcPr>
            <w:tcW w:type="dxa" w:w="9504"/>
            <w:tcMar>
              <w:top w:w="90" w:type="dxa"/>
              <w:start w:w="90" w:type="dxa"/>
              <w:bottom w:w="90" w:type="dxa"/>
              <w:end w:w="90" w:type="dxa"/>
            </w:tcMar>
            <w:vAlign w:val="top"/>
          </w:tcPr>
          <w:p>
            <w:pPr>
              <w:spacing w:before="0" w:after="0" w:line="240" w:lineRule="auto"/>
            </w:pPr>
            <w:r>
              <w:rPr>
                <w:rFonts w:ascii="Calibri" w:hAnsi="Calibri"/>
                <w:b w:val="0"/>
                <w:color w:val="110A24"/>
                <w:sz w:val="16"/>
              </w:rPr>
              <w:t>Executive sponsor, commercial owner, customer success owner, technical owner, support owner, security owner.</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w:t>
            </w:r>
          </w:p>
        </w:tc>
        <w:tc>
          <w:tcPr>
            <w:tcW w:type="dxa" w:w="95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Currency, active contract value, support tier, renewal type, notice period, purchase order reference, billing system reference.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6"/>
              </w:rPr>
              <w:t>Technical</w:t>
            </w:r>
          </w:p>
        </w:tc>
        <w:tc>
          <w:tcPr>
            <w:tcW w:type="dxa" w:w="9504"/>
            <w:tcMar>
              <w:top w:w="90" w:type="dxa"/>
              <w:start w:w="90" w:type="dxa"/>
              <w:bottom w:w="90" w:type="dxa"/>
              <w:end w:w="90" w:type="dxa"/>
            </w:tcMar>
            <w:vAlign w:val="top"/>
          </w:tcPr>
          <w:p>
            <w:pPr>
              <w:spacing w:before="0" w:after="0" w:line="240" w:lineRule="auto"/>
            </w:pPr>
            <w:r>
              <w:rPr>
                <w:rFonts w:ascii="Calibri" w:hAnsi="Calibri"/>
                <w:b w:val="0"/>
                <w:color w:val="110A24"/>
                <w:sz w:val="16"/>
              </w:rPr>
              <w:t>Products, deployment model, platform, regions, data residency preferences, SSO state, approved support channel, maintenance window.</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Risk</w:t>
            </w:r>
          </w:p>
        </w:tc>
        <w:tc>
          <w:tcPr>
            <w:tcW w:type="dxa" w:w="95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Health status, renewal risk, security risk, support risk, overdue actions, open exceptions.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6"/>
              </w:rPr>
              <w:t>Contacts</w:t>
            </w:r>
          </w:p>
        </w:tc>
        <w:tc>
          <w:tcPr>
            <w:tcW w:type="dxa" w:w="9504"/>
            <w:tcMar>
              <w:top w:w="90" w:type="dxa"/>
              <w:start w:w="90" w:type="dxa"/>
              <w:bottom w:w="90" w:type="dxa"/>
              <w:end w:w="90" w:type="dxa"/>
            </w:tcMar>
            <w:vAlign w:val="top"/>
          </w:tcPr>
          <w:p>
            <w:pPr>
              <w:spacing w:before="0" w:after="0" w:line="240" w:lineRule="auto"/>
            </w:pPr>
            <w:r>
              <w:rPr>
                <w:rFonts w:ascii="Calibri" w:hAnsi="Calibri"/>
                <w:b w:val="0"/>
                <w:color w:val="110A24"/>
                <w:sz w:val="16"/>
              </w:rPr>
              <w:t>Primary commercial, executive, technical, security, procurement, billing and support contacts.</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References</w:t>
            </w:r>
          </w:p>
        </w:tc>
        <w:tc>
          <w:tcPr>
            <w:tcW w:type="dxa" w:w="95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CRM ID, finance system ID, support system ID, approved document references, architecture review reference.</w:t>
            </w:r>
          </w:p>
        </w:tc>
      </w:tr>
    </w:tbl>
    <w:p>
      <w:pPr>
        <w:spacing w:after="20"/>
      </w:pPr>
    </w:p>
    <w:p>
      <w:pPr>
        <w:pStyle w:val="Heading2"/>
        <w:keepNext/>
      </w:pPr>
      <w:r>
        <w:rPr>
          <w:rFonts w:ascii="Calibri" w:hAnsi="Calibri"/>
          <w:b/>
          <w:color w:val="7040FF"/>
          <w:sz w:val="26"/>
        </w:rPr>
        <w:t>10.1 Customer 360 tabs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72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Tab</w:t>
            </w:r>
          </w:p>
        </w:tc>
        <w:tc>
          <w:tcPr>
            <w:tcW w:type="dxa" w:w="1022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Content</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Overview</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Identity, lifecycle, owners, key metrics, health, risks, next actions and recent timeline.</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Contacts</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Contacts, roles, consent and communication preferences, account relationships, customer organization map.</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Products</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Products purchased, status, commercial scope, adoption metadata and owners.</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Contracts</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Active, future and historical contracts, renewal dates, support terms and references.</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Entitlements</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Effective rights with source contract, limits, dates, history and drift status.</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Licenses</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Current licenses, state, expiry, revisions, delivery and audit.</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Deployments</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Environments, platform, region, release, license binding, support state and last check in.</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Usage</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Approved usage and adoption metadata, seats or licensed units, feature adoption where available.</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Support</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Case references, severity mix, SLA, escalations, support hours and recurring issues.</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Success</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Onboarding, health, success plan, QBR notes, objectives, renewal risk and next milestones.</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Finance</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Contract value, invoicing references, cost to serve, margin estimate, revenue concentration where allowed.</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Timeline</w:t>
            </w:r>
          </w:p>
        </w:tc>
        <w:tc>
          <w:tcPr>
            <w:tcW w:type="dxa" w:w="1022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Unified customer event history across commercial, licensing, deployment, support, risk and admin actions.</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6"/>
              </w:rPr>
              <w:t>Audit</w:t>
            </w:r>
          </w:p>
        </w:tc>
        <w:tc>
          <w:tcPr>
            <w:tcW w:type="dxa" w:w="10224"/>
            <w:tcMar>
              <w:top w:w="90" w:type="dxa"/>
              <w:start w:w="90" w:type="dxa"/>
              <w:bottom w:w="90" w:type="dxa"/>
              <w:end w:w="90" w:type="dxa"/>
            </w:tcMar>
            <w:vAlign w:val="top"/>
          </w:tcPr>
          <w:p>
            <w:pPr>
              <w:spacing w:before="0" w:after="0" w:line="240" w:lineRule="auto"/>
            </w:pPr>
            <w:r>
              <w:rPr>
                <w:rFonts w:ascii="Calibri" w:hAnsi="Calibri"/>
                <w:b w:val="0"/>
                <w:color w:val="110A24"/>
                <w:sz w:val="16"/>
              </w:rPr>
              <w:t>Customer scoped administrative audit events.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FF0EC"/>
            <w:tcMar>
              <w:top w:w="120" w:type="dxa"/>
              <w:start w:w="160" w:type="dxa"/>
              <w:bottom w:w="120" w:type="dxa"/>
              <w:end w:w="160" w:type="dxa"/>
            </w:tcMar>
            <w:tcBorders>
              <w:left w:val="single" w:sz="18" w:color="FF694D"/>
            </w:tcBorders>
          </w:tcPr>
          <w:p>
            <w:pPr>
              <w:spacing w:before="0" w:after="40" w:line="240" w:lineRule="auto"/>
            </w:pPr>
            <w:r>
              <w:rPr>
                <w:rFonts w:ascii="Calibri" w:hAnsi="Calibri"/>
                <w:b/>
                <w:color w:val="110A24"/>
                <w:sz w:val="20"/>
              </w:rPr>
              <w:t>Customer data boundary</w:t>
            </w:r>
          </w:p>
          <w:p>
            <w:pPr>
              <w:spacing w:before="0" w:after="0" w:line="252" w:lineRule="auto"/>
            </w:pPr>
            <w:r>
              <w:rPr>
                <w:rFonts w:ascii="Calibri" w:hAnsi="Calibri"/>
                <w:color w:val="110A24"/>
                <w:sz w:val="18"/>
              </w:rPr>
              <w:t>Do not store raw customer production incidents, logs, traces, secrets or credentials in Customer 360. Store operational relationship metadata, approved technical metadata and references to source systems.</w:t>
            </w:r>
          </w:p>
        </w:tc>
      </w:tr>
    </w:tbl>
    <w:p>
      <w:pPr>
        <w:spacing w:after="20"/>
      </w:pPr>
    </w:p>
    <w:p>
      <w:pPr>
        <w:pStyle w:val="Heading1"/>
        <w:keepNext/>
      </w:pPr>
      <w:r>
        <w:rPr>
          <w:rFonts w:ascii="Calibri" w:hAnsi="Calibri"/>
          <w:b/>
          <w:color w:val="110A24"/>
          <w:sz w:val="36"/>
        </w:rPr>
        <w:t>11. Customer onboarding and lifecycle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8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Stage</w:t>
            </w:r>
          </w:p>
        </w:tc>
        <w:tc>
          <w:tcPr>
            <w:tcW w:type="dxa" w:w="705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Exit criteria</w:t>
            </w:r>
          </w:p>
        </w:tc>
        <w:tc>
          <w:tcPr>
            <w:tcW w:type="dxa" w:w="280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Typical owner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handoff</w:t>
            </w:r>
          </w:p>
        </w:tc>
        <w:tc>
          <w:tcPr>
            <w:tcW w:type="dxa" w:w="7056"/>
            <w:tcMar>
              <w:top w:w="90" w:type="dxa"/>
              <w:start w:w="90" w:type="dxa"/>
              <w:bottom w:w="90" w:type="dxa"/>
              <w:end w:w="90" w:type="dxa"/>
            </w:tcMar>
            <w:vAlign w:val="top"/>
          </w:tcPr>
          <w:p>
            <w:pPr>
              <w:spacing w:before="0" w:after="0" w:line="240" w:lineRule="auto"/>
            </w:pPr>
            <w:r>
              <w:rPr>
                <w:rFonts w:ascii="Calibri" w:hAnsi="Calibri"/>
                <w:b w:val="0"/>
                <w:color w:val="110A24"/>
                <w:sz w:val="15"/>
              </w:rPr>
              <w:t>Customer record, product scope, commercial owner and target deployment are confirmed.</w:t>
            </w:r>
          </w:p>
        </w:tc>
        <w:tc>
          <w:tcPr>
            <w:tcW w:type="dxa" w:w="2808"/>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Operations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Security review</w:t>
            </w:r>
          </w:p>
        </w:tc>
        <w:tc>
          <w:tcPr>
            <w:tcW w:type="dxa" w:w="70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Security contact, data residency, deployment model and required review references are captured.</w:t>
            </w:r>
          </w:p>
        </w:tc>
        <w:tc>
          <w:tcPr>
            <w:tcW w:type="dxa" w:w="28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Security and Technical Owner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Architecture discovery</w:t>
            </w:r>
          </w:p>
        </w:tc>
        <w:tc>
          <w:tcPr>
            <w:tcW w:type="dxa" w:w="7056"/>
            <w:tcMar>
              <w:top w:w="90" w:type="dxa"/>
              <w:start w:w="90" w:type="dxa"/>
              <w:bottom w:w="90" w:type="dxa"/>
              <w:end w:w="90" w:type="dxa"/>
            </w:tcMar>
            <w:vAlign w:val="top"/>
          </w:tcPr>
          <w:p>
            <w:pPr>
              <w:spacing w:before="0" w:after="0" w:line="240" w:lineRule="auto"/>
            </w:pPr>
            <w:r>
              <w:rPr>
                <w:rFonts w:ascii="Calibri" w:hAnsi="Calibri"/>
                <w:b w:val="0"/>
                <w:color w:val="110A24"/>
                <w:sz w:val="15"/>
              </w:rPr>
              <w:t>Platform, network, identity, storage, AI route and integration requirements are understood.</w:t>
            </w:r>
          </w:p>
        </w:tc>
        <w:tc>
          <w:tcPr>
            <w:tcW w:type="dxa" w:w="2808"/>
            <w:tcMar>
              <w:top w:w="90" w:type="dxa"/>
              <w:start w:w="90" w:type="dxa"/>
              <w:bottom w:w="90" w:type="dxa"/>
              <w:end w:w="90" w:type="dxa"/>
            </w:tcMar>
            <w:vAlign w:val="top"/>
          </w:tcPr>
          <w:p>
            <w:pPr>
              <w:spacing w:before="0" w:after="0" w:line="240" w:lineRule="auto"/>
            </w:pPr>
            <w:r>
              <w:rPr>
                <w:rFonts w:ascii="Calibri" w:hAnsi="Calibri"/>
                <w:b w:val="0"/>
                <w:color w:val="110A24"/>
                <w:sz w:val="15"/>
              </w:rPr>
              <w:t>Technical Owner</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Pilot ready</w:t>
            </w:r>
          </w:p>
        </w:tc>
        <w:tc>
          <w:tcPr>
            <w:tcW w:type="dxa" w:w="70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Pilot scope, license, environment, success criteria and dates are approved.</w:t>
            </w:r>
          </w:p>
        </w:tc>
        <w:tc>
          <w:tcPr>
            <w:tcW w:type="dxa" w:w="28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Success and Technical Owner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Deployment ready</w:t>
            </w:r>
          </w:p>
        </w:tc>
        <w:tc>
          <w:tcPr>
            <w:tcW w:type="dxa" w:w="7056"/>
            <w:tcMar>
              <w:top w:w="90" w:type="dxa"/>
              <w:start w:w="90" w:type="dxa"/>
              <w:bottom w:w="90" w:type="dxa"/>
              <w:end w:w="90" w:type="dxa"/>
            </w:tcMar>
            <w:vAlign w:val="top"/>
          </w:tcPr>
          <w:p>
            <w:pPr>
              <w:spacing w:before="0" w:after="0" w:line="240" w:lineRule="auto"/>
            </w:pPr>
            <w:r>
              <w:rPr>
                <w:rFonts w:ascii="Calibri" w:hAnsi="Calibri"/>
                <w:b w:val="0"/>
                <w:color w:val="110A24"/>
                <w:sz w:val="15"/>
              </w:rPr>
              <w:t>Preflight prerequisites and installation plan are complete.</w:t>
            </w:r>
          </w:p>
        </w:tc>
        <w:tc>
          <w:tcPr>
            <w:tcW w:type="dxa" w:w="2808"/>
            <w:tcMar>
              <w:top w:w="90" w:type="dxa"/>
              <w:start w:w="90" w:type="dxa"/>
              <w:bottom w:w="90" w:type="dxa"/>
              <w:end w:w="90" w:type="dxa"/>
            </w:tcMar>
            <w:vAlign w:val="top"/>
          </w:tcPr>
          <w:p>
            <w:pPr>
              <w:spacing w:before="0" w:after="0" w:line="240" w:lineRule="auto"/>
            </w:pPr>
            <w:r>
              <w:rPr>
                <w:rFonts w:ascii="Calibri" w:hAnsi="Calibri"/>
                <w:b w:val="0"/>
                <w:color w:val="110A24"/>
                <w:sz w:val="15"/>
              </w:rPr>
              <w:t>Customer Operations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Go live</w:t>
            </w:r>
          </w:p>
        </w:tc>
        <w:tc>
          <w:tcPr>
            <w:tcW w:type="dxa" w:w="70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Production deployment, support contacts, license and ownership are confirmed.</w:t>
            </w:r>
          </w:p>
        </w:tc>
        <w:tc>
          <w:tcPr>
            <w:tcW w:type="dxa" w:w="28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Success</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Stable</w:t>
            </w:r>
          </w:p>
        </w:tc>
        <w:tc>
          <w:tcPr>
            <w:tcW w:type="dxa" w:w="7056"/>
            <w:tcMar>
              <w:top w:w="90" w:type="dxa"/>
              <w:start w:w="90" w:type="dxa"/>
              <w:bottom w:w="90" w:type="dxa"/>
              <w:end w:w="90" w:type="dxa"/>
            </w:tcMar>
            <w:vAlign w:val="top"/>
          </w:tcPr>
          <w:p>
            <w:pPr>
              <w:spacing w:before="0" w:after="0" w:line="240" w:lineRule="auto"/>
            </w:pPr>
            <w:r>
              <w:rPr>
                <w:rFonts w:ascii="Calibri" w:hAnsi="Calibri"/>
                <w:b w:val="0"/>
                <w:color w:val="110A24"/>
                <w:sz w:val="15"/>
              </w:rPr>
              <w:t>Initial operational period is complete, risks are accepted or resolved.</w:t>
            </w:r>
          </w:p>
        </w:tc>
        <w:tc>
          <w:tcPr>
            <w:tcW w:type="dxa" w:w="2808"/>
            <w:tcMar>
              <w:top w:w="90" w:type="dxa"/>
              <w:start w:w="90" w:type="dxa"/>
              <w:bottom w:w="90" w:type="dxa"/>
              <w:end w:w="90" w:type="dxa"/>
            </w:tcMar>
            <w:vAlign w:val="top"/>
          </w:tcPr>
          <w:p>
            <w:pPr>
              <w:spacing w:before="0" w:after="0" w:line="240" w:lineRule="auto"/>
            </w:pPr>
            <w:r>
              <w:rPr>
                <w:rFonts w:ascii="Calibri" w:hAnsi="Calibri"/>
                <w:b w:val="0"/>
                <w:color w:val="110A24"/>
                <w:sz w:val="15"/>
              </w:rPr>
              <w:t>Customer Success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Renewal</w:t>
            </w:r>
          </w:p>
        </w:tc>
        <w:tc>
          <w:tcPr>
            <w:tcW w:type="dxa" w:w="705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Renewal plan, customer health, product value and entitlement changes are reviewed.</w:t>
            </w:r>
          </w:p>
        </w:tc>
        <w:tc>
          <w:tcPr>
            <w:tcW w:type="dxa" w:w="28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and Customer Success</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Offboarding</w:t>
            </w:r>
          </w:p>
        </w:tc>
        <w:tc>
          <w:tcPr>
            <w:tcW w:type="dxa" w:w="7056"/>
            <w:tcMar>
              <w:top w:w="90" w:type="dxa"/>
              <w:start w:w="90" w:type="dxa"/>
              <w:bottom w:w="90" w:type="dxa"/>
              <w:end w:w="90" w:type="dxa"/>
            </w:tcMar>
            <w:vAlign w:val="top"/>
          </w:tcPr>
          <w:p>
            <w:pPr>
              <w:spacing w:before="0" w:after="0" w:line="240" w:lineRule="auto"/>
            </w:pPr>
            <w:r>
              <w:rPr>
                <w:rFonts w:ascii="Calibri" w:hAnsi="Calibri"/>
                <w:b w:val="0"/>
                <w:color w:val="110A24"/>
                <w:sz w:val="15"/>
              </w:rPr>
              <w:t>License and access lifecycle, records retention and customer obligations are completed.</w:t>
            </w:r>
          </w:p>
        </w:tc>
        <w:tc>
          <w:tcPr>
            <w:tcW w:type="dxa" w:w="2808"/>
            <w:tcMar>
              <w:top w:w="90" w:type="dxa"/>
              <w:start w:w="90" w:type="dxa"/>
              <w:bottom w:w="90" w:type="dxa"/>
              <w:end w:w="90" w:type="dxa"/>
            </w:tcMar>
            <w:vAlign w:val="top"/>
          </w:tcPr>
          <w:p>
            <w:pPr>
              <w:spacing w:before="0" w:after="0" w:line="240" w:lineRule="auto"/>
            </w:pPr>
            <w:r>
              <w:rPr>
                <w:rFonts w:ascii="Calibri" w:hAnsi="Calibri"/>
                <w:b w:val="0"/>
                <w:color w:val="110A24"/>
                <w:sz w:val="15"/>
              </w:rPr>
              <w:t>Customer Operations and Security</w:t>
            </w:r>
          </w:p>
        </w:tc>
      </w:tr>
    </w:tbl>
    <w:p>
      <w:pPr>
        <w:spacing w:after="20"/>
      </w:pPr>
    </w:p>
    <w:p>
      <w:pPr>
        <w:pStyle w:val="ListBullet"/>
        <w:spacing w:before="0" w:after="60" w:line="250" w:lineRule="auto"/>
      </w:pPr>
      <w:r>
        <w:rPr>
          <w:rFonts w:ascii="Calibri" w:hAnsi="Calibri"/>
          <w:color w:val="110A24"/>
          <w:sz w:val="18"/>
        </w:rPr>
        <w:t>Onboarding uses checklists with owner, due date, status, dependency and evidence reference.</w:t>
      </w:r>
    </w:p>
    <w:p>
      <w:pPr>
        <w:pStyle w:val="ListBullet"/>
        <w:spacing w:before="0" w:after="60" w:line="250" w:lineRule="auto"/>
      </w:pPr>
      <w:r>
        <w:rPr>
          <w:rFonts w:ascii="Calibri" w:hAnsi="Calibri"/>
          <w:color w:val="110A24"/>
          <w:sz w:val="18"/>
        </w:rPr>
        <w:t>Customer onboarding progress is visible on Customer 360 and Portfolio command center when overdue.</w:t>
      </w:r>
    </w:p>
    <w:p>
      <w:pPr>
        <w:pStyle w:val="ListBullet"/>
        <w:spacing w:before="0" w:after="60" w:line="250" w:lineRule="auto"/>
      </w:pPr>
      <w:r>
        <w:rPr>
          <w:rFonts w:ascii="Calibri" w:hAnsi="Calibri"/>
          <w:color w:val="110A24"/>
          <w:sz w:val="18"/>
        </w:rPr>
        <w:t>An onboarding template can vary by product and deployment model.</w:t>
      </w:r>
    </w:p>
    <w:p>
      <w:pPr>
        <w:pStyle w:val="ListBullet"/>
        <w:spacing w:before="0" w:after="60" w:line="250" w:lineRule="auto"/>
      </w:pPr>
      <w:r>
        <w:rPr>
          <w:rFonts w:ascii="Calibri" w:hAnsi="Calibri"/>
          <w:color w:val="110A24"/>
          <w:sz w:val="18"/>
        </w:rPr>
        <w:t>No checklist completion can falsely mark a deployment supported before required technical conformance gates pass.</w:t>
      </w:r>
    </w:p>
    <w:p>
      <w:pPr>
        <w:pStyle w:val="Heading1"/>
        <w:keepNext/>
      </w:pPr>
      <w:r>
        <w:rPr>
          <w:rFonts w:ascii="Calibri" w:hAnsi="Calibri"/>
          <w:b/>
          <w:color w:val="110A24"/>
          <w:sz w:val="36"/>
        </w:rPr>
        <w:t>12. Contacts, relationships and account teams</w:t>
      </w:r>
    </w:p>
    <w:p>
      <w:pPr>
        <w:spacing w:before="0" w:after="100" w:line="259" w:lineRule="auto"/>
      </w:pPr>
      <w:r>
        <w:rPr>
          <w:rFonts w:ascii="Calibri" w:hAnsi="Calibri"/>
          <w:b w:val="0"/>
          <w:i w:val="0"/>
          <w:color w:val="110A24"/>
          <w:sz w:val="19"/>
        </w:rPr>
        <w:t>Contacts are first class records, not free text. A customer can have many contacts with different responsibilities. Apporine also needs an internal account team so ownership is explicit.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Contact role</w:t>
            </w:r>
          </w:p>
        </w:tc>
        <w:tc>
          <w:tcPr>
            <w:tcW w:type="dxa" w:w="979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Executive</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Sponsor, CIO, CTO, VP Engineering, business sponsor.</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Procurement, finance, contract owner, renewal owner.</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Technical</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Platform, DevOps, SRE, cloud, integration owner.</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Security</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CISO team, security architecture, IAM, risk or compliance contact.</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Support</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Incident or support manager, service desk contact.</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Billing</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Accounts payable, billing owner.</w:t>
            </w:r>
          </w:p>
        </w:tc>
      </w:tr>
    </w:tbl>
    <w:p>
      <w:pPr>
        <w:spacing w:after="20"/>
      </w:pPr>
    </w:p>
    <w:p>
      <w:pPr>
        <w:pStyle w:val="ListBullet"/>
        <w:spacing w:before="0" w:after="60" w:line="250" w:lineRule="auto"/>
      </w:pPr>
      <w:r>
        <w:rPr>
          <w:rFonts w:ascii="Calibri" w:hAnsi="Calibri"/>
          <w:color w:val="110A24"/>
          <w:sz w:val="18"/>
        </w:rPr>
        <w:t>Each contact stores name, title, email, phone if needed, timezone, preferred channel, active state, responsibility and verification status.</w:t>
      </w:r>
    </w:p>
    <w:p>
      <w:pPr>
        <w:pStyle w:val="ListBullet"/>
        <w:spacing w:before="0" w:after="60" w:line="250" w:lineRule="auto"/>
      </w:pPr>
      <w:r>
        <w:rPr>
          <w:rFonts w:ascii="Calibri" w:hAnsi="Calibri"/>
          <w:color w:val="110A24"/>
          <w:sz w:val="18"/>
        </w:rPr>
        <w:t>Account hierarchy supports parent and subsidiary relationships.</w:t>
      </w:r>
    </w:p>
    <w:p>
      <w:pPr>
        <w:pStyle w:val="ListBullet"/>
        <w:spacing w:before="0" w:after="60" w:line="250" w:lineRule="auto"/>
      </w:pPr>
      <w:r>
        <w:rPr>
          <w:rFonts w:ascii="Calibri" w:hAnsi="Calibri"/>
          <w:color w:val="110A24"/>
          <w:sz w:val="18"/>
        </w:rPr>
        <w:t>Internal account team contains commercial owner, customer success manager, technical owner, support owner and executive sponsor.</w:t>
      </w:r>
    </w:p>
    <w:p>
      <w:pPr>
        <w:pStyle w:val="ListBullet"/>
        <w:spacing w:before="0" w:after="60" w:line="250" w:lineRule="auto"/>
      </w:pPr>
      <w:r>
        <w:rPr>
          <w:rFonts w:ascii="Calibri" w:hAnsi="Calibri"/>
          <w:color w:val="110A24"/>
          <w:sz w:val="18"/>
        </w:rPr>
        <w:t>Contact changes appear in the customer timeline and can trigger ownership review if an approver or security contact leaves.</w:t>
      </w:r>
    </w:p>
    <w:p>
      <w:pPr>
        <w:pStyle w:val="Heading1"/>
        <w:keepNext/>
      </w:pPr>
      <w:r>
        <w:rPr>
          <w:rFonts w:ascii="Calibri" w:hAnsi="Calibri"/>
          <w:b/>
          <w:color w:val="110A24"/>
          <w:sz w:val="36"/>
        </w:rPr>
        <w:t>13. Contracts, subscriptions and commercial records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8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Area</w:t>
            </w:r>
          </w:p>
        </w:tc>
        <w:tc>
          <w:tcPr>
            <w:tcW w:type="dxa" w:w="98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data</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6"/>
              </w:rPr>
              <w:t>Contract identity</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6"/>
              </w:rPr>
              <w:t>Contract ID, product, customer, legal entity, status, effective date, end date, renewal type, notice period.</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 value</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Currency, annual contract value, total contract value where useful, billing frequency, purchase order reference.</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6"/>
              </w:rPr>
              <w:t>Scope</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6"/>
              </w:rPr>
              <w:t>Products, deployment allowances, licensed units, support tier, regions, service entitlements, regulatory packages.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Documents</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Secure document reference, data processing agreement reference, security addendum reference, order form reference.</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6"/>
              </w:rPr>
              <w:t>Ownership</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6"/>
              </w:rPr>
              <w:t>Commercial owner, renewal owner, approvers, customer procurement contact.</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Renewal</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Renewal window, notice deadline, proposal status, renewal risk, target value, renewal task owner.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6"/>
              </w:rPr>
              <w:t>External billing</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6"/>
              </w:rPr>
              <w:t>Invoice system customer ID, invoice references, payment status summary if integrated. No card data stored.</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5F3F7"/>
            <w:tcMar>
              <w:top w:w="120" w:type="dxa"/>
              <w:start w:w="160" w:type="dxa"/>
              <w:bottom w:w="120" w:type="dxa"/>
              <w:end w:w="160" w:type="dxa"/>
            </w:tcMar>
            <w:tcBorders>
              <w:left w:val="single" w:sz="18" w:color="D8D4E2"/>
            </w:tcBorders>
          </w:tcPr>
          <w:p>
            <w:pPr>
              <w:spacing w:before="0" w:after="40" w:line="240" w:lineRule="auto"/>
            </w:pPr>
            <w:r>
              <w:rPr>
                <w:rFonts w:ascii="Calibri" w:hAnsi="Calibri"/>
                <w:b/>
                <w:color w:val="110A24"/>
                <w:sz w:val="20"/>
              </w:rPr>
              <w:t>Do not rebuild an ERP</w:t>
            </w:r>
          </w:p>
          <w:p>
            <w:pPr>
              <w:spacing w:before="0" w:after="0" w:line="252" w:lineRule="auto"/>
            </w:pPr>
            <w:r>
              <w:rPr>
                <w:rFonts w:ascii="Calibri" w:hAnsi="Calibri"/>
                <w:color w:val="110A24"/>
                <w:sz w:val="18"/>
              </w:rPr>
              <w:t>The control plane may hold commercial operating metadata and link to billing or finance systems. Payment processing, accounting ledger and card data remain in dedicated finance systems.</w:t>
            </w:r>
          </w:p>
        </w:tc>
      </w:tr>
    </w:tbl>
    <w:p>
      <w:pPr>
        <w:spacing w:after="20"/>
      </w:pPr>
    </w:p>
    <w:p>
      <w:pPr>
        <w:pStyle w:val="Heading1"/>
        <w:keepNext/>
      </w:pPr>
      <w:r>
        <w:rPr>
          <w:rFonts w:ascii="Calibri" w:hAnsi="Calibri"/>
          <w:b/>
          <w:color w:val="110A24"/>
          <w:sz w:val="36"/>
        </w:rPr>
        <w:t>14. Entitlements</w:t>
      </w:r>
    </w:p>
    <w:p>
      <w:pPr>
        <w:pStyle w:val="ListBullet"/>
        <w:spacing w:before="0" w:after="60" w:line="250" w:lineRule="auto"/>
      </w:pPr>
      <w:r>
        <w:rPr>
          <w:rFonts w:ascii="Calibri" w:hAnsi="Calibri"/>
          <w:color w:val="110A24"/>
          <w:sz w:val="18"/>
        </w:rPr>
        <w:t>Entitlements are versioned rights derived from contract and commercial decisions.</w:t>
      </w:r>
    </w:p>
    <w:p>
      <w:pPr>
        <w:pStyle w:val="ListBullet"/>
        <w:spacing w:before="0" w:after="60" w:line="250" w:lineRule="auto"/>
      </w:pPr>
      <w:r>
        <w:rPr>
          <w:rFonts w:ascii="Calibri" w:hAnsi="Calibri"/>
          <w:color w:val="110A24"/>
          <w:sz w:val="18"/>
        </w:rPr>
        <w:t>Entitlement definitions are product scoped and contain machine key, display label, data type, validation rule, default, commercial description and lifecycle state.</w:t>
      </w:r>
    </w:p>
    <w:p>
      <w:pPr>
        <w:pStyle w:val="ListBullet"/>
        <w:spacing w:before="0" w:after="60" w:line="250" w:lineRule="auto"/>
      </w:pPr>
      <w:r>
        <w:rPr>
          <w:rFonts w:ascii="Calibri" w:hAnsi="Calibri"/>
          <w:color w:val="110A24"/>
          <w:sz w:val="18"/>
        </w:rPr>
        <w:t>Customer entitlement records contain source contract, effective date, expiry, quantity or tier, override reason, approval and change history.</w:t>
      </w:r>
    </w:p>
    <w:p>
      <w:pPr>
        <w:pStyle w:val="ListBullet"/>
        <w:spacing w:before="0" w:after="60" w:line="250" w:lineRule="auto"/>
      </w:pPr>
      <w:r>
        <w:rPr>
          <w:rFonts w:ascii="Calibri" w:hAnsi="Calibri"/>
          <w:color w:val="110A24"/>
          <w:sz w:val="18"/>
        </w:rPr>
        <w:t>Diff preview shows current entitlement, proposed value, source and downstream license impact before applying a change.</w:t>
      </w:r>
    </w:p>
    <w:p>
      <w:pPr>
        <w:pStyle w:val="ListBullet"/>
        <w:spacing w:before="0" w:after="60" w:line="250" w:lineRule="auto"/>
      </w:pPr>
      <w:r>
        <w:rPr>
          <w:rFonts w:ascii="Calibri" w:hAnsi="Calibri"/>
          <w:color w:val="110A24"/>
          <w:sz w:val="18"/>
        </w:rPr>
        <w:t>Universal security controls are never represented as optional commercial entitlements.</w:t>
      </w:r>
    </w:p>
    <w:p>
      <w:pPr>
        <w:pStyle w:val="ListBullet"/>
        <w:spacing w:before="0" w:after="60" w:line="250" w:lineRule="auto"/>
      </w:pPr>
      <w:r>
        <w:rPr>
          <w:rFonts w:ascii="Calibri" w:hAnsi="Calibri"/>
          <w:color w:val="110A24"/>
          <w:sz w:val="18"/>
        </w:rPr>
        <w:t>Entitlement drift engine compares contract, customer entitlement, signed license payload and deployment observed license metadata, then raises a mismatch risk.</w:t>
      </w:r>
    </w:p>
    <w:p>
      <w:pPr>
        <w:pStyle w:val="Heading1"/>
        <w:keepNext/>
      </w:pPr>
      <w:r>
        <w:rPr>
          <w:rFonts w:ascii="Calibri" w:hAnsi="Calibri"/>
          <w:b/>
          <w:color w:val="110A24"/>
          <w:sz w:val="36"/>
        </w:rPr>
        <w:t>15. Licenses</w:t>
      </w:r>
    </w:p>
    <w:p>
      <w:pPr>
        <w:spacing w:before="0" w:after="100" w:line="259" w:lineRule="auto"/>
      </w:pPr>
      <w:r>
        <w:rPr>
          <w:rFonts w:ascii="Calibri" w:hAnsi="Calibri"/>
          <w:b w:val="0"/>
          <w:i w:val="0"/>
          <w:color w:val="110A24"/>
          <w:sz w:val="19"/>
        </w:rPr>
        <w:t>Licensing is a governed commercial workflow built on the dedicated Apporine Licensing and Entitlement Architecture Specification. The admin control plane is the operational interface, not the cryptographic source of private key material.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87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License view</w:t>
            </w:r>
          </w:p>
        </w:tc>
        <w:tc>
          <w:tcPr>
            <w:tcW w:type="dxa" w:w="1008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content</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6"/>
              </w:rPr>
              <w:t>List</w:t>
            </w:r>
          </w:p>
        </w:tc>
        <w:tc>
          <w:tcPr>
            <w:tcW w:type="dxa" w:w="10080"/>
            <w:tcMar>
              <w:top w:w="90" w:type="dxa"/>
              <w:start w:w="90" w:type="dxa"/>
              <w:bottom w:w="90" w:type="dxa"/>
              <w:end w:w="90" w:type="dxa"/>
            </w:tcMar>
            <w:vAlign w:val="top"/>
          </w:tcPr>
          <w:p>
            <w:pPr>
              <w:spacing w:before="0" w:after="0" w:line="240" w:lineRule="auto"/>
            </w:pPr>
            <w:r>
              <w:rPr>
                <w:rFonts w:ascii="Calibri" w:hAnsi="Calibri"/>
                <w:b w:val="0"/>
                <w:color w:val="110A24"/>
                <w:sz w:val="16"/>
              </w:rPr>
              <w:t>Customer, product, license ID, revision, state, valid from, expires, deployment allowance, signing key ID, delivery state, last verification signal if connected.</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Overview</w:t>
            </w:r>
          </w:p>
        </w:tc>
        <w:tc>
          <w:tcPr>
            <w:tcW w:type="dxa" w:w="100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Customer, product, commercial source, state, effective period, grace policy, deployment allowance, artifact fingerprint.</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6"/>
              </w:rPr>
              <w:t>Entitlements</w:t>
            </w:r>
          </w:p>
        </w:tc>
        <w:tc>
          <w:tcPr>
            <w:tcW w:type="dxa" w:w="10080"/>
            <w:tcMar>
              <w:top w:w="90" w:type="dxa"/>
              <w:start w:w="90" w:type="dxa"/>
              <w:bottom w:w="90" w:type="dxa"/>
              <w:end w:w="90" w:type="dxa"/>
            </w:tcMar>
            <w:vAlign w:val="top"/>
          </w:tcPr>
          <w:p>
            <w:pPr>
              <w:spacing w:before="0" w:after="0" w:line="240" w:lineRule="auto"/>
            </w:pPr>
            <w:r>
              <w:rPr>
                <w:rFonts w:ascii="Calibri" w:hAnsi="Calibri"/>
                <w:b w:val="0"/>
                <w:color w:val="110A24"/>
                <w:sz w:val="16"/>
              </w:rPr>
              <w:t>Signed entitlement payload rendered in human form, with source records and diff to current proposed rights.</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Deployments</w:t>
            </w:r>
          </w:p>
        </w:tc>
        <w:tc>
          <w:tcPr>
            <w:tcW w:type="dxa" w:w="100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Known deployment bindings, environment, region, current release and license match state.</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6"/>
              </w:rPr>
              <w:t>Revisions</w:t>
            </w:r>
          </w:p>
        </w:tc>
        <w:tc>
          <w:tcPr>
            <w:tcW w:type="dxa" w:w="10080"/>
            <w:tcMar>
              <w:top w:w="90" w:type="dxa"/>
              <w:start w:w="90" w:type="dxa"/>
              <w:bottom w:w="90" w:type="dxa"/>
              <w:end w:w="90" w:type="dxa"/>
            </w:tcMar>
            <w:vAlign w:val="top"/>
          </w:tcPr>
          <w:p>
            <w:pPr>
              <w:spacing w:before="0" w:after="0" w:line="240" w:lineRule="auto"/>
            </w:pPr>
            <w:r>
              <w:rPr>
                <w:rFonts w:ascii="Calibri" w:hAnsi="Calibri"/>
                <w:b w:val="0"/>
                <w:color w:val="110A24"/>
                <w:sz w:val="16"/>
              </w:rPr>
              <w:t>Immutable revision timeline, issuer, approval, signing key ID, payload hash and replacement relationship.</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Delivery</w:t>
            </w:r>
          </w:p>
        </w:tc>
        <w:tc>
          <w:tcPr>
            <w:tcW w:type="dxa" w:w="1008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Artifact download state, secure delivery reference, offline package status and acknowledgement.</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6"/>
              </w:rPr>
              <w:t>Audit</w:t>
            </w:r>
          </w:p>
        </w:tc>
        <w:tc>
          <w:tcPr>
            <w:tcW w:type="dxa" w:w="10080"/>
            <w:tcMar>
              <w:top w:w="90" w:type="dxa"/>
              <w:start w:w="90" w:type="dxa"/>
              <w:bottom w:w="90" w:type="dxa"/>
              <w:end w:w="90" w:type="dxa"/>
            </w:tcMar>
            <w:vAlign w:val="top"/>
          </w:tcPr>
          <w:p>
            <w:pPr>
              <w:spacing w:before="0" w:after="0" w:line="240" w:lineRule="auto"/>
            </w:pPr>
            <w:r>
              <w:rPr>
                <w:rFonts w:ascii="Calibri" w:hAnsi="Calibri"/>
                <w:b w:val="0"/>
                <w:color w:val="110A24"/>
                <w:sz w:val="16"/>
              </w:rPr>
              <w:t>Issue, renew, replace, suspend, revoke, verify, download and approval events.</w:t>
            </w:r>
          </w:p>
        </w:tc>
      </w:tr>
    </w:tbl>
    <w:p>
      <w:pPr>
        <w:spacing w:after="20"/>
      </w:pPr>
    </w:p>
    <w:p>
      <w:pPr>
        <w:pStyle w:val="ListBullet"/>
        <w:spacing w:before="0" w:after="60" w:line="250" w:lineRule="auto"/>
      </w:pPr>
      <w:r>
        <w:rPr>
          <w:rFonts w:ascii="Calibri" w:hAnsi="Calibri"/>
          <w:color w:val="110A24"/>
          <w:sz w:val="18"/>
        </w:rPr>
        <w:t>Actions: Issue license, Renew license, Replace license, Rebind deployment, Suspend, Revoke, Download artifact, Verify artifact, View payload.</w:t>
      </w:r>
    </w:p>
    <w:p>
      <w:pPr>
        <w:pStyle w:val="ListBullet"/>
        <w:spacing w:before="0" w:after="60" w:line="250" w:lineRule="auto"/>
      </w:pPr>
      <w:r>
        <w:rPr>
          <w:rFonts w:ascii="Calibri" w:hAnsi="Calibri"/>
          <w:color w:val="110A24"/>
          <w:sz w:val="18"/>
        </w:rPr>
        <w:t>High impact operations require reason. Policy can require second approver and step up authentication.</w:t>
      </w:r>
    </w:p>
    <w:p>
      <w:pPr>
        <w:pStyle w:val="ListBullet"/>
        <w:spacing w:before="0" w:after="60" w:line="250" w:lineRule="auto"/>
      </w:pPr>
      <w:r>
        <w:rPr>
          <w:rFonts w:ascii="Calibri" w:hAnsi="Calibri"/>
          <w:color w:val="110A24"/>
          <w:sz w:val="18"/>
        </w:rPr>
        <w:t>A signed revision is immutable. Changed payload creates a new revision.</w:t>
      </w:r>
    </w:p>
    <w:p>
      <w:pPr>
        <w:pStyle w:val="ListBullet"/>
        <w:spacing w:before="0" w:after="60" w:line="250" w:lineRule="auto"/>
      </w:pPr>
      <w:r>
        <w:rPr>
          <w:rFonts w:ascii="Calibri" w:hAnsi="Calibri"/>
          <w:color w:val="110A24"/>
          <w:sz w:val="18"/>
        </w:rPr>
        <w:t>Customer license is never embedded into OCI images.</w:t>
      </w:r>
    </w:p>
    <w:p>
      <w:pPr>
        <w:pStyle w:val="ListBullet"/>
        <w:spacing w:before="0" w:after="60" w:line="250" w:lineRule="auto"/>
      </w:pPr>
      <w:r>
        <w:rPr>
          <w:rFonts w:ascii="Calibri" w:hAnsi="Calibri"/>
          <w:color w:val="110A24"/>
          <w:sz w:val="18"/>
        </w:rPr>
        <w:t>Air gapped customer renewals support offline signed artifact exchange.</w:t>
      </w:r>
    </w:p>
    <w:p>
      <w:pPr>
        <w:pStyle w:val="Heading1"/>
        <w:keepNext/>
      </w:pPr>
      <w:r>
        <w:rPr>
          <w:rFonts w:ascii="Calibri" w:hAnsi="Calibri"/>
          <w:b/>
          <w:color w:val="110A24"/>
          <w:sz w:val="36"/>
        </w:rPr>
        <w:t>16. Deployments and install base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Field group</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Fields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Identity</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Deployment ID, customer, product, environment, logical name, active state.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Platform</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AWS, Azure, Google Cloud, OpenShift, on premises or other approved platform, Kubernetes distribution, cluster logical ID.</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Location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Region, country, data residency class, DR region if recorded.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Release</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Current product release, Helm package version, support status, end of support date.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License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Bound license ID, revision, verification state, deployment allowance state.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Health metadata</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Last check in, installation kit version, preflight result, last upgrade result, backup status if customer permits sharing.</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Ownership</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Customer technical contact, Apporine technical owner, support tier, maintenance window.</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FF0EC"/>
            <w:tcMar>
              <w:top w:w="120" w:type="dxa"/>
              <w:start w:w="160" w:type="dxa"/>
              <w:bottom w:w="120" w:type="dxa"/>
              <w:end w:w="160" w:type="dxa"/>
            </w:tcMar>
            <w:tcBorders>
              <w:left w:val="single" w:sz="18" w:color="FF694D"/>
            </w:tcBorders>
          </w:tcPr>
          <w:p>
            <w:pPr>
              <w:spacing w:before="0" w:after="40" w:line="240" w:lineRule="auto"/>
            </w:pPr>
            <w:r>
              <w:rPr>
                <w:rFonts w:ascii="Calibri" w:hAnsi="Calibri"/>
                <w:b/>
                <w:color w:val="110A24"/>
                <w:sz w:val="20"/>
              </w:rPr>
              <w:t>Privacy rule</w:t>
            </w:r>
          </w:p>
          <w:p>
            <w:pPr>
              <w:spacing w:before="0" w:after="0" w:line="252" w:lineRule="auto"/>
            </w:pPr>
            <w:r>
              <w:rPr>
                <w:rFonts w:ascii="Calibri" w:hAnsi="Calibri"/>
                <w:color w:val="110A24"/>
                <w:sz w:val="18"/>
              </w:rPr>
              <w:t>Deployment health is customer authorized metadata only. The control plane does not become a hidden observability tunnel into a customer environment.</w:t>
            </w:r>
          </w:p>
        </w:tc>
      </w:tr>
    </w:tbl>
    <w:p>
      <w:pPr>
        <w:spacing w:after="20"/>
      </w:pPr>
    </w:p>
    <w:p>
      <w:pPr>
        <w:pStyle w:val="Heading2"/>
        <w:keepNext/>
      </w:pPr>
      <w:r>
        <w:rPr>
          <w:rFonts w:ascii="Calibri" w:hAnsi="Calibri"/>
          <w:b/>
          <w:color w:val="7040FF"/>
          <w:sz w:val="26"/>
        </w:rPr>
        <w:t>16.1 Deployment fleet views</w:t>
      </w:r>
    </w:p>
    <w:p>
      <w:pPr>
        <w:pStyle w:val="ListBullet"/>
        <w:spacing w:before="0" w:after="60" w:line="250" w:lineRule="auto"/>
      </w:pPr>
      <w:r>
        <w:rPr>
          <w:rFonts w:ascii="Calibri" w:hAnsi="Calibri"/>
          <w:color w:val="110A24"/>
          <w:sz w:val="18"/>
        </w:rPr>
        <w:t>Fleet table with filters by product, customer, environment, platform, region, release, support state and license state.</w:t>
      </w:r>
    </w:p>
    <w:p>
      <w:pPr>
        <w:pStyle w:val="ListBullet"/>
        <w:spacing w:before="0" w:after="60" w:line="250" w:lineRule="auto"/>
      </w:pPr>
      <w:r>
        <w:rPr>
          <w:rFonts w:ascii="Calibri" w:hAnsi="Calibri"/>
          <w:color w:val="110A24"/>
          <w:sz w:val="18"/>
        </w:rPr>
        <w:t>Release heatmap showing deployments by release and support status.</w:t>
      </w:r>
    </w:p>
    <w:p>
      <w:pPr>
        <w:pStyle w:val="ListBullet"/>
        <w:spacing w:before="0" w:after="60" w:line="250" w:lineRule="auto"/>
      </w:pPr>
      <w:r>
        <w:rPr>
          <w:rFonts w:ascii="Calibri" w:hAnsi="Calibri"/>
          <w:color w:val="110A24"/>
          <w:sz w:val="18"/>
        </w:rPr>
        <w:t>Upgrade readiness view showing compatible, review needed and blocked deployments with reasons.</w:t>
      </w:r>
    </w:p>
    <w:p>
      <w:pPr>
        <w:pStyle w:val="ListBullet"/>
        <w:spacing w:before="0" w:after="60" w:line="250" w:lineRule="auto"/>
      </w:pPr>
      <w:r>
        <w:rPr>
          <w:rFonts w:ascii="Calibri" w:hAnsi="Calibri"/>
          <w:color w:val="110A24"/>
          <w:sz w:val="18"/>
        </w:rPr>
        <w:t>Deployment risk card combines unsupported release, license mismatch, expired support window and overdue upgrade plan.</w:t>
      </w:r>
    </w:p>
    <w:p>
      <w:pPr>
        <w:pStyle w:val="Heading1"/>
        <w:keepNext/>
      </w:pPr>
      <w:r>
        <w:rPr>
          <w:rFonts w:ascii="Calibri" w:hAnsi="Calibri"/>
          <w:b/>
          <w:color w:val="110A24"/>
          <w:sz w:val="36"/>
        </w:rPr>
        <w:t>17. Releases and compatibility</w:t>
      </w:r>
    </w:p>
    <w:p>
      <w:pPr>
        <w:pStyle w:val="ListBullet"/>
        <w:spacing w:before="0" w:after="60" w:line="250" w:lineRule="auto"/>
      </w:pPr>
      <w:r>
        <w:rPr>
          <w:rFonts w:ascii="Calibri" w:hAnsi="Calibri"/>
          <w:color w:val="110A24"/>
          <w:sz w:val="18"/>
        </w:rPr>
        <w:t>Release record includes version, status, release date, support window, OCI digests, package version, SBOM, signatures, provenance and release notes.</w:t>
      </w:r>
    </w:p>
    <w:p>
      <w:pPr>
        <w:pStyle w:val="ListBullet"/>
        <w:spacing w:before="0" w:after="60" w:line="250" w:lineRule="auto"/>
      </w:pPr>
      <w:r>
        <w:rPr>
          <w:rFonts w:ascii="Calibri" w:hAnsi="Calibri"/>
          <w:color w:val="110A24"/>
          <w:sz w:val="18"/>
        </w:rPr>
        <w:t>Promotion states: Draft, Tested, Approved, Released, Deprecated, End of support.</w:t>
      </w:r>
    </w:p>
    <w:p>
      <w:pPr>
        <w:pStyle w:val="ListBullet"/>
        <w:spacing w:before="0" w:after="60" w:line="250" w:lineRule="auto"/>
      </w:pPr>
      <w:r>
        <w:rPr>
          <w:rFonts w:ascii="Calibri" w:hAnsi="Calibri"/>
          <w:color w:val="110A24"/>
          <w:sz w:val="18"/>
        </w:rPr>
        <w:t>Compatibility matrix covers supported deployment profiles and required dependencies.</w:t>
      </w:r>
    </w:p>
    <w:p>
      <w:pPr>
        <w:pStyle w:val="ListBullet"/>
        <w:spacing w:before="0" w:after="60" w:line="250" w:lineRule="auto"/>
      </w:pPr>
      <w:r>
        <w:rPr>
          <w:rFonts w:ascii="Calibri" w:hAnsi="Calibri"/>
          <w:color w:val="110A24"/>
          <w:sz w:val="18"/>
        </w:rPr>
        <w:t>Release impact preview lists customers and deployments affected by a release, deprecation or end of support change.</w:t>
      </w:r>
    </w:p>
    <w:p>
      <w:pPr>
        <w:pStyle w:val="ListBullet"/>
        <w:spacing w:before="0" w:after="60" w:line="250" w:lineRule="auto"/>
      </w:pPr>
      <w:r>
        <w:rPr>
          <w:rFonts w:ascii="Calibri" w:hAnsi="Calibri"/>
          <w:color w:val="110A24"/>
          <w:sz w:val="18"/>
        </w:rPr>
        <w:t>No release is marked supported solely because artifacts exist. Conformance tests and acceptance gates must pass.</w:t>
      </w:r>
    </w:p>
    <w:p>
      <w:pPr>
        <w:pStyle w:val="Heading1"/>
        <w:keepNext/>
      </w:pPr>
      <w:r>
        <w:rPr>
          <w:rFonts w:ascii="Calibri" w:hAnsi="Calibri"/>
          <w:b/>
          <w:color w:val="110A24"/>
          <w:sz w:val="36"/>
        </w:rPr>
        <w:t>18. Usage, adoption and metering</w:t>
      </w:r>
    </w:p>
    <w:p>
      <w:pPr>
        <w:spacing w:before="0" w:after="100" w:line="259" w:lineRule="auto"/>
      </w:pPr>
      <w:r>
        <w:rPr>
          <w:rFonts w:ascii="Calibri" w:hAnsi="Calibri"/>
          <w:b w:val="0"/>
          <w:i w:val="0"/>
          <w:color w:val="110A24"/>
          <w:sz w:val="19"/>
        </w:rPr>
        <w:t>Usage data is optional and privacy aware. Apporine should know enough to understand adoption and commercial fit without collecting customer production content.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Metric class</w:t>
            </w:r>
          </w:p>
        </w:tc>
        <w:tc>
          <w:tcPr>
            <w:tcW w:type="dxa" w:w="432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Examples</w:t>
            </w:r>
          </w:p>
        </w:tc>
        <w:tc>
          <w:tcPr>
            <w:tcW w:type="dxa" w:w="56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Rule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License usage</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Licensed deployments, licensed seats or approved quantity where relevant.</w:t>
            </w:r>
          </w:p>
        </w:tc>
        <w:tc>
          <w:tcPr>
            <w:tcW w:type="dxa" w:w="5616"/>
            <w:tcMar>
              <w:top w:w="90" w:type="dxa"/>
              <w:start w:w="90" w:type="dxa"/>
              <w:bottom w:w="90" w:type="dxa"/>
              <w:end w:w="90" w:type="dxa"/>
            </w:tcMar>
            <w:vAlign w:val="top"/>
          </w:tcPr>
          <w:p>
            <w:pPr>
              <w:spacing w:before="0" w:after="0" w:line="240" w:lineRule="auto"/>
            </w:pPr>
            <w:r>
              <w:rPr>
                <w:rFonts w:ascii="Calibri" w:hAnsi="Calibri"/>
                <w:b w:val="0"/>
                <w:color w:val="110A24"/>
                <w:sz w:val="15"/>
              </w:rPr>
              <w:t>Source from signed entitlement and approved check in metadata.</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 adoption</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Enabled product modules, feature use counters, active admin users where customer permits.</w:t>
            </w:r>
          </w:p>
        </w:tc>
        <w:tc>
          <w:tcPr>
            <w:tcW w:type="dxa" w:w="56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Aggregate metadata only, no incident payloads.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Operational usage</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Deployment check in, release version, upgrade frequency, support case volume.</w:t>
            </w:r>
          </w:p>
        </w:tc>
        <w:tc>
          <w:tcPr>
            <w:tcW w:type="dxa" w:w="5616"/>
            <w:tcMar>
              <w:top w:w="90" w:type="dxa"/>
              <w:start w:w="90" w:type="dxa"/>
              <w:bottom w:w="90" w:type="dxa"/>
              <w:end w:w="90" w:type="dxa"/>
            </w:tcMar>
            <w:vAlign w:val="top"/>
          </w:tcPr>
          <w:p>
            <w:pPr>
              <w:spacing w:before="0" w:after="0" w:line="240" w:lineRule="auto"/>
            </w:pPr>
            <w:r>
              <w:rPr>
                <w:rFonts w:ascii="Calibri" w:hAnsi="Calibri"/>
                <w:b w:val="0"/>
                <w:color w:val="110A24"/>
                <w:sz w:val="15"/>
              </w:rPr>
              <w:t>Customer consent and data minimization apply.</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usage</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Consumption metric if contract uses metered pricing.</w:t>
            </w:r>
          </w:p>
        </w:tc>
        <w:tc>
          <w:tcPr>
            <w:tcW w:type="dxa" w:w="56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Source of truth must be documented and auditable.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Apporine platform usage</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Admin control plane API, jobs, notifications and storage.</w:t>
            </w:r>
          </w:p>
        </w:tc>
        <w:tc>
          <w:tcPr>
            <w:tcW w:type="dxa" w:w="5616"/>
            <w:tcMar>
              <w:top w:w="90" w:type="dxa"/>
              <w:start w:w="90" w:type="dxa"/>
              <w:bottom w:w="90" w:type="dxa"/>
              <w:end w:w="90" w:type="dxa"/>
            </w:tcMar>
            <w:vAlign w:val="top"/>
          </w:tcPr>
          <w:p>
            <w:pPr>
              <w:spacing w:before="0" w:after="0" w:line="240" w:lineRule="auto"/>
            </w:pPr>
            <w:r>
              <w:rPr>
                <w:rFonts w:ascii="Calibri" w:hAnsi="Calibri"/>
                <w:b w:val="0"/>
                <w:color w:val="110A24"/>
                <w:sz w:val="15"/>
              </w:rPr>
              <w:t>Used for internal operations and cost attribution.</w:t>
            </w:r>
          </w:p>
        </w:tc>
      </w:tr>
    </w:tbl>
    <w:p>
      <w:pPr>
        <w:spacing w:after="20"/>
      </w:pPr>
    </w:p>
    <w:p>
      <w:pPr>
        <w:pStyle w:val="Heading1"/>
        <w:keepNext/>
      </w:pPr>
      <w:r>
        <w:rPr>
          <w:rFonts w:ascii="Calibri" w:hAnsi="Calibri"/>
          <w:b/>
          <w:color w:val="110A24"/>
          <w:sz w:val="36"/>
        </w:rPr>
        <w:t>19. Customer health, renewal and risk</w:t>
      </w:r>
    </w:p>
    <w:p>
      <w:pPr>
        <w:spacing w:before="0" w:after="100" w:line="259" w:lineRule="auto"/>
      </w:pPr>
      <w:r>
        <w:rPr>
          <w:rFonts w:ascii="Calibri" w:hAnsi="Calibri"/>
          <w:b w:val="0"/>
          <w:i w:val="0"/>
          <w:color w:val="110A24"/>
          <w:sz w:val="19"/>
        </w:rPr>
        <w:t>Customer health is an explainable advisory score. It supports prioritization, it does not replace human judgment.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87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Factor</w:t>
            </w:r>
          </w:p>
        </w:tc>
        <w:tc>
          <w:tcPr>
            <w:tcW w:type="dxa" w:w="468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 signal</w:t>
            </w:r>
          </w:p>
        </w:tc>
        <w:tc>
          <w:tcPr>
            <w:tcW w:type="dxa" w:w="540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Default behavior</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Commercial</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Renewal within 90 days, open commercial blocker.</w:t>
            </w:r>
          </w:p>
        </w:tc>
        <w:tc>
          <w:tcPr>
            <w:tcW w:type="dxa" w:w="5400"/>
            <w:tcMar>
              <w:top w:w="90" w:type="dxa"/>
              <w:start w:w="90" w:type="dxa"/>
              <w:bottom w:w="90" w:type="dxa"/>
              <w:end w:w="90" w:type="dxa"/>
            </w:tcMar>
            <w:vAlign w:val="top"/>
          </w:tcPr>
          <w:p>
            <w:pPr>
              <w:spacing w:before="0" w:after="0" w:line="240" w:lineRule="auto"/>
            </w:pPr>
            <w:r>
              <w:rPr>
                <w:rFonts w:ascii="Calibri" w:hAnsi="Calibri"/>
                <w:b w:val="0"/>
                <w:color w:val="110A24"/>
                <w:sz w:val="15"/>
              </w:rPr>
              <w:t>Raises renewal attention.</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Licensing</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Expiring license, grace state, entitlement drift.</w:t>
            </w:r>
          </w:p>
        </w:tc>
        <w:tc>
          <w:tcPr>
            <w:tcW w:type="dxa" w:w="54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Raises operational risk.</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Deployment</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Unsupported release, failed upgrade, missing supported deployment state.</w:t>
            </w:r>
          </w:p>
        </w:tc>
        <w:tc>
          <w:tcPr>
            <w:tcW w:type="dxa" w:w="5400"/>
            <w:tcMar>
              <w:top w:w="90" w:type="dxa"/>
              <w:start w:w="90" w:type="dxa"/>
              <w:bottom w:w="90" w:type="dxa"/>
              <w:end w:w="90" w:type="dxa"/>
            </w:tcMar>
            <w:vAlign w:val="top"/>
          </w:tcPr>
          <w:p>
            <w:pPr>
              <w:spacing w:before="0" w:after="0" w:line="240" w:lineRule="auto"/>
            </w:pPr>
            <w:r>
              <w:rPr>
                <w:rFonts w:ascii="Calibri" w:hAnsi="Calibri"/>
                <w:b w:val="0"/>
                <w:color w:val="110A24"/>
                <w:sz w:val="15"/>
              </w:rPr>
              <w:t>Raises technical risk.</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High severity cases, repeated escalation, SLA breaches.</w:t>
            </w:r>
          </w:p>
        </w:tc>
        <w:tc>
          <w:tcPr>
            <w:tcW w:type="dxa" w:w="54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Raises support burden.</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Adoption</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Low enabled capability use where customer permits measurement.</w:t>
            </w:r>
          </w:p>
        </w:tc>
        <w:tc>
          <w:tcPr>
            <w:tcW w:type="dxa" w:w="5400"/>
            <w:tcMar>
              <w:top w:w="90" w:type="dxa"/>
              <w:start w:w="90" w:type="dxa"/>
              <w:bottom w:w="90" w:type="dxa"/>
              <w:end w:w="90" w:type="dxa"/>
            </w:tcMar>
            <w:vAlign w:val="top"/>
          </w:tcPr>
          <w:p>
            <w:pPr>
              <w:spacing w:before="0" w:after="0" w:line="240" w:lineRule="auto"/>
            </w:pPr>
            <w:r>
              <w:rPr>
                <w:rFonts w:ascii="Calibri" w:hAnsi="Calibri"/>
                <w:b w:val="0"/>
                <w:color w:val="110A24"/>
                <w:sz w:val="15"/>
              </w:rPr>
              <w:t>Raises value realization question.</w:t>
            </w:r>
          </w:p>
        </w:tc>
      </w:tr>
      <w:tr>
        <w:trPr>
          <w:cantSplit/>
        </w:trPr>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Relationship</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Missing executive, security or technical contact, overdue QBR.</w:t>
            </w:r>
          </w:p>
        </w:tc>
        <w:tc>
          <w:tcPr>
            <w:tcW w:type="dxa" w:w="540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Raises relationship risk.</w:t>
            </w:r>
          </w:p>
        </w:tc>
      </w:tr>
      <w:tr>
        <w:trPr>
          <w:cantSplit/>
        </w:trPr>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Security</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Open exception, overdue access action, unsupported key state.</w:t>
            </w:r>
          </w:p>
        </w:tc>
        <w:tc>
          <w:tcPr>
            <w:tcW w:type="dxa" w:w="5400"/>
            <w:tcMar>
              <w:top w:w="90" w:type="dxa"/>
              <w:start w:w="90" w:type="dxa"/>
              <w:bottom w:w="90" w:type="dxa"/>
              <w:end w:w="90" w:type="dxa"/>
            </w:tcMar>
            <w:vAlign w:val="top"/>
          </w:tcPr>
          <w:p>
            <w:pPr>
              <w:spacing w:before="0" w:after="0" w:line="240" w:lineRule="auto"/>
            </w:pPr>
            <w:r>
              <w:rPr>
                <w:rFonts w:ascii="Calibri" w:hAnsi="Calibri"/>
                <w:b w:val="0"/>
                <w:color w:val="110A24"/>
                <w:sz w:val="15"/>
              </w:rPr>
              <w:t>Raises security risk.</w:t>
            </w:r>
          </w:p>
        </w:tc>
      </w:tr>
    </w:tbl>
    <w:p>
      <w:pPr>
        <w:spacing w:after="20"/>
      </w:pPr>
    </w:p>
    <w:p>
      <w:pPr>
        <w:pStyle w:val="ListBullet"/>
        <w:spacing w:before="0" w:after="60" w:line="250" w:lineRule="auto"/>
      </w:pPr>
      <w:r>
        <w:rPr>
          <w:rFonts w:ascii="Calibri" w:hAnsi="Calibri"/>
          <w:color w:val="110A24"/>
          <w:sz w:val="18"/>
        </w:rPr>
        <w:t>Health score page shows score, trend, factor contribution, source records and last calculation time.</w:t>
      </w:r>
    </w:p>
    <w:p>
      <w:pPr>
        <w:pStyle w:val="ListBullet"/>
        <w:spacing w:before="0" w:after="60" w:line="250" w:lineRule="auto"/>
      </w:pPr>
      <w:r>
        <w:rPr>
          <w:rFonts w:ascii="Calibri" w:hAnsi="Calibri"/>
          <w:color w:val="110A24"/>
          <w:sz w:val="18"/>
        </w:rPr>
        <w:t>Operators can override a derived risk with reason, expiry and approver where required. The original calculated value remains visible.</w:t>
      </w:r>
    </w:p>
    <w:p>
      <w:pPr>
        <w:pStyle w:val="ListBullet"/>
        <w:spacing w:before="0" w:after="60" w:line="250" w:lineRule="auto"/>
      </w:pPr>
      <w:r>
        <w:rPr>
          <w:rFonts w:ascii="Calibri" w:hAnsi="Calibri"/>
          <w:color w:val="110A24"/>
          <w:sz w:val="18"/>
        </w:rPr>
        <w:t>Renewal radar shows 120, 90, 60 and 30 day windows, contract value, health, open risks, owner and next action.</w:t>
      </w:r>
    </w:p>
    <w:p>
      <w:pPr>
        <w:pStyle w:val="ListBullet"/>
        <w:spacing w:before="0" w:after="60" w:line="250" w:lineRule="auto"/>
      </w:pPr>
      <w:r>
        <w:rPr>
          <w:rFonts w:ascii="Calibri" w:hAnsi="Calibri"/>
          <w:color w:val="110A24"/>
          <w:sz w:val="18"/>
        </w:rPr>
        <w:t>Portfolio view can show value at risk, not only customer count.</w:t>
      </w:r>
    </w:p>
    <w:p>
      <w:pPr>
        <w:pStyle w:val="Heading1"/>
        <w:keepNext/>
      </w:pPr>
      <w:r>
        <w:rPr>
          <w:rFonts w:ascii="Calibri" w:hAnsi="Calibri"/>
          <w:b/>
          <w:color w:val="110A24"/>
          <w:sz w:val="36"/>
        </w:rPr>
        <w:t>20. Support and customer success</w:t>
      </w:r>
    </w:p>
    <w:p>
      <w:pPr>
        <w:pStyle w:val="ListBullet"/>
        <w:spacing w:before="0" w:after="60" w:line="250" w:lineRule="auto"/>
      </w:pPr>
      <w:r>
        <w:rPr>
          <w:rFonts w:ascii="Calibri" w:hAnsi="Calibri"/>
          <w:color w:val="110A24"/>
          <w:sz w:val="18"/>
        </w:rPr>
        <w:t>Support page stores case references, severity, status, owner, opened time, resolved time, SLA state and source system. Full case content may remain in the support platform.</w:t>
      </w:r>
    </w:p>
    <w:p>
      <w:pPr>
        <w:pStyle w:val="ListBullet"/>
        <w:spacing w:before="0" w:after="60" w:line="250" w:lineRule="auto"/>
      </w:pPr>
      <w:r>
        <w:rPr>
          <w:rFonts w:ascii="Calibri" w:hAnsi="Calibri"/>
          <w:color w:val="110A24"/>
          <w:sz w:val="18"/>
        </w:rPr>
        <w:t>Support entitlement links contract or support tier to allowed channels, hours, response objectives and escalation path.</w:t>
      </w:r>
    </w:p>
    <w:p>
      <w:pPr>
        <w:pStyle w:val="ListBullet"/>
        <w:spacing w:before="0" w:after="60" w:line="250" w:lineRule="auto"/>
      </w:pPr>
      <w:r>
        <w:rPr>
          <w:rFonts w:ascii="Calibri" w:hAnsi="Calibri"/>
          <w:color w:val="110A24"/>
          <w:sz w:val="18"/>
        </w:rPr>
        <w:t>Customer success plan stores goals, milestones, outcomes, owner, due date and evidence reference.</w:t>
      </w:r>
    </w:p>
    <w:p>
      <w:pPr>
        <w:pStyle w:val="ListBullet"/>
        <w:spacing w:before="0" w:after="60" w:line="250" w:lineRule="auto"/>
      </w:pPr>
      <w:r>
        <w:rPr>
          <w:rFonts w:ascii="Calibri" w:hAnsi="Calibri"/>
          <w:color w:val="110A24"/>
          <w:sz w:val="18"/>
        </w:rPr>
        <w:t>QBR record stores meeting date, attendees, summary, commitments and next actions, with sensitive notes appropriately restricted.</w:t>
      </w:r>
    </w:p>
    <w:p>
      <w:pPr>
        <w:pStyle w:val="ListBullet"/>
        <w:spacing w:before="0" w:after="60" w:line="250" w:lineRule="auto"/>
      </w:pPr>
      <w:r>
        <w:rPr>
          <w:rFonts w:ascii="Calibri" w:hAnsi="Calibri"/>
          <w:color w:val="110A24"/>
          <w:sz w:val="18"/>
        </w:rPr>
        <w:t>Recurring issue view groups support patterns by customer, product and release without copying restricted customer incident content.</w:t>
      </w:r>
    </w:p>
    <w:p>
      <w:pPr>
        <w:pStyle w:val="ListBullet"/>
        <w:spacing w:before="0" w:after="60" w:line="250" w:lineRule="auto"/>
      </w:pPr>
      <w:r>
        <w:rPr>
          <w:rFonts w:ascii="Calibri" w:hAnsi="Calibri"/>
          <w:color w:val="110A24"/>
          <w:sz w:val="18"/>
        </w:rPr>
        <w:t>Escalation workspace shows customer, severity, business context, active owners, communication cadence and executive visibility.</w:t>
      </w:r>
    </w:p>
    <w:p>
      <w:pPr>
        <w:pStyle w:val="Heading1"/>
        <w:keepNext/>
      </w:pPr>
      <w:r>
        <w:rPr>
          <w:rFonts w:ascii="Calibri" w:hAnsi="Calibri"/>
          <w:b/>
          <w:color w:val="110A24"/>
          <w:sz w:val="36"/>
        </w:rPr>
        <w:t>21. Approvals and governed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Approval type</w:t>
            </w:r>
          </w:p>
        </w:tc>
        <w:tc>
          <w:tcPr>
            <w:tcW w:type="dxa" w:w="367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Typical reason</w:t>
            </w:r>
          </w:p>
        </w:tc>
        <w:tc>
          <w:tcPr>
            <w:tcW w:type="dxa" w:w="597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context</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License issue</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New or expanded customer entitlement.</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Customer, contract source, entitlement diff, validity, deployment allowance.</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 revoke</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 or security decision.</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Impact, reason, affected deployments, grace behavior, customer communication state.</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Sensitive entitlement change</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change affects signed rights.</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Before and after, source contract, effective date.</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Signing key rotation</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Cryptographic trust change.</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Current key, next key, overlap window, affected verifiers, rollback plan.</w:t>
            </w:r>
          </w:p>
        </w:tc>
      </w:tr>
      <w:tr>
        <w:trPr>
          <w:cantSplit/>
        </w:trPr>
        <w:tc>
          <w:tcPr>
            <w:tcW w:type="dxa" w:w="2232"/>
            <w:tcMar>
              <w:top w:w="90" w:type="dxa"/>
              <w:start w:w="90" w:type="dxa"/>
              <w:bottom w:w="90" w:type="dxa"/>
              <w:end w:w="90" w:type="dxa"/>
            </w:tcMar>
            <w:vAlign w:val="top"/>
          </w:tcPr>
          <w:p>
            <w:pPr>
              <w:spacing w:before="0" w:after="0" w:line="240" w:lineRule="auto"/>
            </w:pPr>
            <w:r>
              <w:rPr>
                <w:rFonts w:ascii="Calibri" w:hAnsi="Calibri"/>
                <w:b w:val="0"/>
                <w:color w:val="110A24"/>
                <w:sz w:val="15"/>
              </w:rPr>
              <w:t>Break glass</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Emergency administrative access.</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Incident reference, requested scope, expiry, observer or approver.</w:t>
            </w:r>
          </w:p>
        </w:tc>
      </w:tr>
      <w:tr>
        <w:trPr>
          <w:cantSplit/>
        </w:trPr>
        <w:tc>
          <w:tcPr>
            <w:tcW w:type="dxa" w:w="223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Security policy change</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Internal control change.</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Policy diff, affected roles, risk and rollback.</w:t>
            </w:r>
          </w:p>
        </w:tc>
      </w:tr>
    </w:tbl>
    <w:p>
      <w:pPr>
        <w:spacing w:after="20"/>
      </w:pPr>
    </w:p>
    <w:p>
      <w:pPr>
        <w:pStyle w:val="ListBullet"/>
        <w:spacing w:before="0" w:after="60" w:line="250" w:lineRule="auto"/>
      </w:pPr>
      <w:r>
        <w:rPr>
          <w:rFonts w:ascii="Calibri" w:hAnsi="Calibri"/>
          <w:color w:val="110A24"/>
          <w:sz w:val="18"/>
        </w:rPr>
        <w:t>Approval queue supports Mine, Team, High impact, Expiring, Decided and All views.</w:t>
      </w:r>
    </w:p>
    <w:p>
      <w:pPr>
        <w:pStyle w:val="ListBullet"/>
        <w:spacing w:before="0" w:after="60" w:line="250" w:lineRule="auto"/>
      </w:pPr>
      <w:r>
        <w:rPr>
          <w:rFonts w:ascii="Calibri" w:hAnsi="Calibri"/>
          <w:color w:val="110A24"/>
          <w:sz w:val="18"/>
        </w:rPr>
        <w:t>Each card shows requester, target, requested action, reason, diff, required policy, time remaining and supporting evidence.</w:t>
      </w:r>
    </w:p>
    <w:p>
      <w:pPr>
        <w:pStyle w:val="ListBullet"/>
        <w:spacing w:before="0" w:after="60" w:line="250" w:lineRule="auto"/>
      </w:pPr>
      <w:r>
        <w:rPr>
          <w:rFonts w:ascii="Calibri" w:hAnsi="Calibri"/>
          <w:color w:val="110A24"/>
          <w:sz w:val="18"/>
        </w:rPr>
        <w:t>Self approval is prevented where segregation of duties requires a second person.</w:t>
      </w:r>
    </w:p>
    <w:p>
      <w:pPr>
        <w:pStyle w:val="ListBullet"/>
        <w:spacing w:before="0" w:after="60" w:line="250" w:lineRule="auto"/>
      </w:pPr>
      <w:r>
        <w:rPr>
          <w:rFonts w:ascii="Calibri" w:hAnsi="Calibri"/>
          <w:color w:val="110A24"/>
          <w:sz w:val="18"/>
        </w:rPr>
        <w:t>Decisions are immutable audit events. Reopen requires a new request.</w:t>
      </w:r>
    </w:p>
    <w:p>
      <w:pPr>
        <w:pStyle w:val="Heading1"/>
        <w:keepNext/>
      </w:pPr>
      <w:r>
        <w:rPr>
          <w:rFonts w:ascii="Calibri" w:hAnsi="Calibri"/>
          <w:b/>
          <w:color w:val="110A24"/>
          <w:sz w:val="36"/>
        </w:rPr>
        <w:t>22. Financial intelligence and cost to serve</w:t>
      </w:r>
    </w:p>
    <w:p>
      <w:pPr>
        <w:spacing w:before="0" w:after="100" w:line="259" w:lineRule="auto"/>
      </w:pPr>
      <w:r>
        <w:rPr>
          <w:rFonts w:ascii="Calibri" w:hAnsi="Calibri"/>
          <w:b w:val="0"/>
          <w:i w:val="0"/>
          <w:color w:val="110A24"/>
          <w:sz w:val="19"/>
        </w:rPr>
        <w:t>The control plane should help founders understand customer economics without becoming the accounting ledger.</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7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Metric</w:t>
            </w:r>
          </w:p>
        </w:tc>
        <w:tc>
          <w:tcPr>
            <w:tcW w:type="dxa" w:w="496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Definition</w:t>
            </w:r>
          </w:p>
        </w:tc>
        <w:tc>
          <w:tcPr>
            <w:tcW w:type="dxa" w:w="45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Source</w:t>
            </w:r>
          </w:p>
        </w:tc>
      </w:tr>
      <w:tr>
        <w:trPr>
          <w:cantSplit/>
        </w:trPr>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Annual contract value</w:t>
            </w:r>
          </w:p>
        </w:tc>
        <w:tc>
          <w:tcPr>
            <w:tcW w:type="dxa" w:w="4968"/>
            <w:tcMar>
              <w:top w:w="90" w:type="dxa"/>
              <w:start w:w="90" w:type="dxa"/>
              <w:bottom w:w="90" w:type="dxa"/>
              <w:end w:w="90" w:type="dxa"/>
            </w:tcMar>
            <w:vAlign w:val="top"/>
          </w:tcPr>
          <w:p>
            <w:pPr>
              <w:spacing w:before="0" w:after="0" w:line="240" w:lineRule="auto"/>
            </w:pPr>
            <w:r>
              <w:rPr>
                <w:rFonts w:ascii="Calibri" w:hAnsi="Calibri"/>
                <w:b w:val="0"/>
                <w:color w:val="110A24"/>
                <w:sz w:val="15"/>
              </w:rPr>
              <w:t>Annualized value of active contract lines.</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5"/>
              </w:rPr>
              <w:t>Approved contract records or finance integration.</w:t>
            </w:r>
          </w:p>
        </w:tc>
      </w:tr>
      <w:tr>
        <w:trPr>
          <w:cantSplit/>
        </w:trPr>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Total contract value</w:t>
            </w:r>
          </w:p>
        </w:tc>
        <w:tc>
          <w:tcPr>
            <w:tcW w:type="dxa" w:w="49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Total committed value where useful.</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 records.</w:t>
            </w:r>
          </w:p>
        </w:tc>
      </w:tr>
      <w:tr>
        <w:trPr>
          <w:cantSplit/>
        </w:trPr>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Renewal pipeline</w:t>
            </w:r>
          </w:p>
        </w:tc>
        <w:tc>
          <w:tcPr>
            <w:tcW w:type="dxa" w:w="4968"/>
            <w:tcMar>
              <w:top w:w="90" w:type="dxa"/>
              <w:start w:w="90" w:type="dxa"/>
              <w:bottom w:w="90" w:type="dxa"/>
              <w:end w:w="90" w:type="dxa"/>
            </w:tcMar>
            <w:vAlign w:val="top"/>
          </w:tcPr>
          <w:p>
            <w:pPr>
              <w:spacing w:before="0" w:after="0" w:line="240" w:lineRule="auto"/>
            </w:pPr>
            <w:r>
              <w:rPr>
                <w:rFonts w:ascii="Calibri" w:hAnsi="Calibri"/>
                <w:b w:val="0"/>
                <w:color w:val="110A24"/>
                <w:sz w:val="15"/>
              </w:rPr>
              <w:t>Value of contracts renewing by time window and risk.</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5"/>
              </w:rPr>
              <w:t>Contracts plus renewal state.</w:t>
            </w:r>
          </w:p>
        </w:tc>
      </w:tr>
      <w:tr>
        <w:trPr>
          <w:cantSplit/>
        </w:trPr>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Revenue concentration</w:t>
            </w:r>
          </w:p>
        </w:tc>
        <w:tc>
          <w:tcPr>
            <w:tcW w:type="dxa" w:w="49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Share of active contract value by customer and product.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records.</w:t>
            </w:r>
          </w:p>
        </w:tc>
      </w:tr>
      <w:tr>
        <w:trPr>
          <w:cantSplit/>
        </w:trPr>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Apporine cloud cost</w:t>
            </w:r>
          </w:p>
        </w:tc>
        <w:tc>
          <w:tcPr>
            <w:tcW w:type="dxa" w:w="4968"/>
            <w:tcMar>
              <w:top w:w="90" w:type="dxa"/>
              <w:start w:w="90" w:type="dxa"/>
              <w:bottom w:w="90" w:type="dxa"/>
              <w:end w:w="90" w:type="dxa"/>
            </w:tcMar>
            <w:vAlign w:val="top"/>
          </w:tcPr>
          <w:p>
            <w:pPr>
              <w:spacing w:before="0" w:after="0" w:line="240" w:lineRule="auto"/>
            </w:pPr>
            <w:r>
              <w:rPr>
                <w:rFonts w:ascii="Calibri" w:hAnsi="Calibri"/>
                <w:b w:val="0"/>
                <w:color w:val="110A24"/>
                <w:sz w:val="15"/>
              </w:rPr>
              <w:t>Control plane and Apporine hosted infrastructure cost.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5"/>
              </w:rPr>
              <w:t>AWS cost data by account and tags.</w:t>
            </w:r>
          </w:p>
        </w:tc>
      </w:tr>
      <w:tr>
        <w:trPr>
          <w:cantSplit/>
        </w:trPr>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cost to serve</w:t>
            </w:r>
          </w:p>
        </w:tc>
        <w:tc>
          <w:tcPr>
            <w:tcW w:type="dxa" w:w="49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Allocated cloud, support labor and operational effort where data exists.</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Cost allocation plus support time.</w:t>
            </w:r>
          </w:p>
        </w:tc>
      </w:tr>
      <w:tr>
        <w:trPr>
          <w:cantSplit/>
        </w:trPr>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Gross margin estimate</w:t>
            </w:r>
          </w:p>
        </w:tc>
        <w:tc>
          <w:tcPr>
            <w:tcW w:type="dxa" w:w="4968"/>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value minus allocated direct service cost.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5"/>
              </w:rPr>
              <w:t>Derived, clearly marked as estimate.</w:t>
            </w:r>
          </w:p>
        </w:tc>
      </w:tr>
      <w:tr>
        <w:trPr>
          <w:cantSplit/>
        </w:trPr>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 efficiency</w:t>
            </w:r>
          </w:p>
        </w:tc>
        <w:tc>
          <w:tcPr>
            <w:tcW w:type="dxa" w:w="496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 hours, case volume and escalations relative to contract value.</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 metadata and approved time records.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5F3F7"/>
            <w:tcMar>
              <w:top w:w="120" w:type="dxa"/>
              <w:start w:w="160" w:type="dxa"/>
              <w:bottom w:w="120" w:type="dxa"/>
              <w:end w:w="160" w:type="dxa"/>
            </w:tcMar>
            <w:tcBorders>
              <w:left w:val="single" w:sz="18" w:color="D8D4E2"/>
            </w:tcBorders>
          </w:tcPr>
          <w:p>
            <w:pPr>
              <w:spacing w:before="0" w:after="40" w:line="240" w:lineRule="auto"/>
            </w:pPr>
            <w:r>
              <w:rPr>
                <w:rFonts w:ascii="Calibri" w:hAnsi="Calibri"/>
                <w:b/>
                <w:color w:val="110A24"/>
                <w:sz w:val="20"/>
              </w:rPr>
              <w:t>Cost honesty</w:t>
            </w:r>
          </w:p>
          <w:p>
            <w:pPr>
              <w:spacing w:before="0" w:after="0" w:line="252" w:lineRule="auto"/>
            </w:pPr>
            <w:r>
              <w:rPr>
                <w:rFonts w:ascii="Calibri" w:hAnsi="Calibri"/>
                <w:color w:val="110A24"/>
                <w:sz w:val="18"/>
              </w:rPr>
              <w:t>For customer hosted Relyxus, Apporine does not claim visibility into the customer cloud bill unless the customer explicitly provides cost data. The control plane can track Apporine cost to serve and contract value regardless.</w:t>
            </w:r>
          </w:p>
        </w:tc>
      </w:tr>
    </w:tbl>
    <w:p>
      <w:pPr>
        <w:spacing w:after="20"/>
      </w:pPr>
    </w:p>
    <w:p>
      <w:pPr>
        <w:pStyle w:val="Heading1"/>
        <w:keepNext/>
      </w:pPr>
      <w:r>
        <w:rPr>
          <w:rFonts w:ascii="Calibri" w:hAnsi="Calibri"/>
          <w:b/>
          <w:color w:val="110A24"/>
          <w:sz w:val="36"/>
        </w:rPr>
        <w:t>23. Security operations</w:t>
      </w:r>
    </w:p>
    <w:p>
      <w:pPr>
        <w:pStyle w:val="ListBullet"/>
        <w:spacing w:before="0" w:after="60" w:line="250" w:lineRule="auto"/>
      </w:pPr>
      <w:r>
        <w:rPr>
          <w:rFonts w:ascii="Calibri" w:hAnsi="Calibri"/>
          <w:color w:val="110A24"/>
          <w:sz w:val="18"/>
        </w:rPr>
        <w:t>Staff directory with identity source, roles, scopes, MFA status, last sign in, active sessions and privileged grants.</w:t>
      </w:r>
    </w:p>
    <w:p>
      <w:pPr>
        <w:pStyle w:val="ListBullet"/>
        <w:spacing w:before="0" w:after="60" w:line="250" w:lineRule="auto"/>
      </w:pPr>
      <w:r>
        <w:rPr>
          <w:rFonts w:ascii="Calibri" w:hAnsi="Calibri"/>
          <w:color w:val="110A24"/>
          <w:sz w:val="18"/>
        </w:rPr>
        <w:t>Access review campaign with reviewer, due date, role assignments, last use and disposition.</w:t>
      </w:r>
    </w:p>
    <w:p>
      <w:pPr>
        <w:pStyle w:val="ListBullet"/>
        <w:spacing w:before="0" w:after="60" w:line="250" w:lineRule="auto"/>
      </w:pPr>
      <w:r>
        <w:rPr>
          <w:rFonts w:ascii="Calibri" w:hAnsi="Calibri"/>
          <w:color w:val="110A24"/>
          <w:sz w:val="18"/>
        </w:rPr>
        <w:t>Break glass register with reason, scope, approver, activation time, expiry and evidence.</w:t>
      </w:r>
    </w:p>
    <w:p>
      <w:pPr>
        <w:pStyle w:val="ListBullet"/>
        <w:spacing w:before="0" w:after="60" w:line="250" w:lineRule="auto"/>
      </w:pPr>
      <w:r>
        <w:rPr>
          <w:rFonts w:ascii="Calibri" w:hAnsi="Calibri"/>
          <w:color w:val="110A24"/>
          <w:sz w:val="18"/>
        </w:rPr>
        <w:t>API client registry with owner, scope, last use, key rotation due date and state.</w:t>
      </w:r>
    </w:p>
    <w:p>
      <w:pPr>
        <w:pStyle w:val="ListBullet"/>
        <w:spacing w:before="0" w:after="60" w:line="250" w:lineRule="auto"/>
      </w:pPr>
      <w:r>
        <w:rPr>
          <w:rFonts w:ascii="Calibri" w:hAnsi="Calibri"/>
          <w:color w:val="110A24"/>
          <w:sz w:val="18"/>
        </w:rPr>
        <w:t>License signing key metadata showing key ID, algorithm, status, created date, next rotation, overlap and verifier adoption. Private key material is never displayed.</w:t>
      </w:r>
    </w:p>
    <w:p>
      <w:pPr>
        <w:pStyle w:val="ListBullet"/>
        <w:spacing w:before="0" w:after="60" w:line="250" w:lineRule="auto"/>
      </w:pPr>
      <w:r>
        <w:rPr>
          <w:rFonts w:ascii="Calibri" w:hAnsi="Calibri"/>
          <w:color w:val="110A24"/>
          <w:sz w:val="18"/>
        </w:rPr>
        <w:t>Security posture page with outstanding access review, old API credential, stale staff account, failed admin authentication, unusual revoke volume and key rotation risk.</w:t>
      </w:r>
    </w:p>
    <w:p>
      <w:pPr>
        <w:pStyle w:val="ListBullet"/>
        <w:spacing w:before="0" w:after="60" w:line="250" w:lineRule="auto"/>
      </w:pPr>
      <w:r>
        <w:rPr>
          <w:rFonts w:ascii="Calibri" w:hAnsi="Calibri"/>
          <w:color w:val="110A24"/>
          <w:sz w:val="18"/>
        </w:rPr>
        <w:t>Sensitive Data access report showing who viewed or exported restricted commercial or security fields.</w:t>
      </w:r>
    </w:p>
    <w:p>
      <w:pPr>
        <w:pStyle w:val="Heading1"/>
        <w:keepNext/>
      </w:pPr>
      <w:r>
        <w:rPr>
          <w:rFonts w:ascii="Calibri" w:hAnsi="Calibri"/>
          <w:b/>
          <w:color w:val="110A24"/>
          <w:sz w:val="36"/>
        </w:rPr>
        <w:t>24. Audit, evidence and administrative analytics</w:t>
      </w:r>
    </w:p>
    <w:p>
      <w:pPr>
        <w:spacing w:before="0" w:after="100" w:line="259" w:lineRule="auto"/>
      </w:pPr>
      <w:r>
        <w:rPr>
          <w:rFonts w:ascii="Calibri" w:hAnsi="Calibri"/>
          <w:b w:val="0"/>
          <w:i w:val="0"/>
          <w:color w:val="110A24"/>
          <w:sz w:val="19"/>
        </w:rPr>
        <w:t>Audit is a first class product module, not a hidden database table.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Audit field</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Requirement</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Identity</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Actor, effective identity, authentication context, service or user.</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Action</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Stable action key, display label, object type, object ID.</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Context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Customer, product, environment, request ID, correlation ID, IP or source where appropriate.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Change</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Before summary, after summary, reason, approval request, related evidence.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Integrity</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Append only behavior, export integrity metadata, immutable evidence storage for protected exports where required.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Delivery</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External stream or SIEM delivery state if enabled.</w:t>
            </w:r>
          </w:p>
        </w:tc>
      </w:tr>
    </w:tbl>
    <w:p>
      <w:pPr>
        <w:spacing w:after="20"/>
      </w:pPr>
    </w:p>
    <w:p>
      <w:pPr>
        <w:pStyle w:val="Heading2"/>
        <w:keepNext/>
      </w:pPr>
      <w:r>
        <w:rPr>
          <w:rFonts w:ascii="Calibri" w:hAnsi="Calibri"/>
          <w:b/>
          <w:color w:val="7040FF"/>
          <w:sz w:val="26"/>
        </w:rPr>
        <w:t>24.1 Audit analytics</w:t>
      </w:r>
    </w:p>
    <w:p>
      <w:pPr>
        <w:pStyle w:val="ListBullet"/>
        <w:spacing w:before="0" w:after="60" w:line="250" w:lineRule="auto"/>
      </w:pPr>
      <w:r>
        <w:rPr>
          <w:rFonts w:ascii="Calibri" w:hAnsi="Calibri"/>
          <w:color w:val="110A24"/>
          <w:sz w:val="18"/>
        </w:rPr>
        <w:t>Actions over time, split by success and failure.</w:t>
      </w:r>
    </w:p>
    <w:p>
      <w:pPr>
        <w:pStyle w:val="ListBullet"/>
        <w:spacing w:before="0" w:after="60" w:line="250" w:lineRule="auto"/>
      </w:pPr>
      <w:r>
        <w:rPr>
          <w:rFonts w:ascii="Calibri" w:hAnsi="Calibri"/>
          <w:color w:val="110A24"/>
          <w:sz w:val="18"/>
        </w:rPr>
        <w:t>Unique actors and top actors by action volume.</w:t>
      </w:r>
    </w:p>
    <w:p>
      <w:pPr>
        <w:pStyle w:val="ListBullet"/>
        <w:spacing w:before="0" w:after="60" w:line="250" w:lineRule="auto"/>
      </w:pPr>
      <w:r>
        <w:rPr>
          <w:rFonts w:ascii="Calibri" w:hAnsi="Calibri"/>
          <w:color w:val="110A24"/>
          <w:sz w:val="18"/>
        </w:rPr>
        <w:t>Products and customers impacted.</w:t>
      </w:r>
    </w:p>
    <w:p>
      <w:pPr>
        <w:pStyle w:val="ListBullet"/>
        <w:spacing w:before="0" w:after="60" w:line="250" w:lineRule="auto"/>
      </w:pPr>
      <w:r>
        <w:rPr>
          <w:rFonts w:ascii="Calibri" w:hAnsi="Calibri"/>
          <w:color w:val="110A24"/>
          <w:sz w:val="18"/>
        </w:rPr>
        <w:t>High impact actions such as revoke, key change, role elevation and break glass.</w:t>
      </w:r>
    </w:p>
    <w:p>
      <w:pPr>
        <w:pStyle w:val="ListBullet"/>
        <w:spacing w:before="0" w:after="60" w:line="250" w:lineRule="auto"/>
      </w:pPr>
      <w:r>
        <w:rPr>
          <w:rFonts w:ascii="Calibri" w:hAnsi="Calibri"/>
          <w:color w:val="110A24"/>
          <w:sz w:val="18"/>
        </w:rPr>
        <w:t>Failure rate and repeated authorization denials.</w:t>
      </w:r>
    </w:p>
    <w:p>
      <w:pPr>
        <w:pStyle w:val="ListBullet"/>
        <w:spacing w:before="0" w:after="60" w:line="250" w:lineRule="auto"/>
      </w:pPr>
      <w:r>
        <w:rPr>
          <w:rFonts w:ascii="Calibri" w:hAnsi="Calibri"/>
          <w:color w:val="110A24"/>
          <w:sz w:val="18"/>
        </w:rPr>
        <w:t>Export volume and sensitive export activity.</w:t>
      </w:r>
    </w:p>
    <w:p>
      <w:pPr>
        <w:pStyle w:val="ListBullet"/>
        <w:spacing w:before="0" w:after="60" w:line="250" w:lineRule="auto"/>
      </w:pPr>
      <w:r>
        <w:rPr>
          <w:rFonts w:ascii="Calibri" w:hAnsi="Calibri"/>
          <w:color w:val="110A24"/>
          <w:sz w:val="18"/>
        </w:rPr>
        <w:t>All analytics synchronize with filters and audit table results.</w:t>
      </w:r>
    </w:p>
    <w:p>
      <w:pPr>
        <w:pStyle w:val="Heading1"/>
        <w:keepNext/>
      </w:pPr>
      <w:r>
        <w:rPr>
          <w:rFonts w:ascii="Calibri" w:hAnsi="Calibri"/>
          <w:b/>
          <w:color w:val="110A24"/>
          <w:sz w:val="36"/>
        </w:rPr>
        <w:t>25. Tasks, notifications and automation</w:t>
      </w:r>
    </w:p>
    <w:p>
      <w:pPr>
        <w:spacing w:before="0" w:after="100" w:line="259" w:lineRule="auto"/>
      </w:pPr>
      <w:r>
        <w:rPr>
          <w:rFonts w:ascii="Calibri" w:hAnsi="Calibri"/>
          <w:b w:val="0"/>
          <w:i w:val="0"/>
          <w:color w:val="110A24"/>
          <w:sz w:val="19"/>
        </w:rPr>
        <w:t>Operational work should surface in one inbox rather than rely on memory or spreadsheets.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52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Trigger</w:t>
            </w:r>
          </w:p>
        </w:tc>
        <w:tc>
          <w:tcPr>
            <w:tcW w:type="dxa" w:w="842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Default automation</w:t>
            </w:r>
          </w:p>
        </w:tc>
      </w:tr>
      <w:tr>
        <w:trPr>
          <w:cantSplit/>
        </w:trPr>
        <w:tc>
          <w:tcPr>
            <w:tcW w:type="dxa" w:w="3528"/>
            <w:tcMar>
              <w:top w:w="90" w:type="dxa"/>
              <w:start w:w="90" w:type="dxa"/>
              <w:bottom w:w="90" w:type="dxa"/>
              <w:end w:w="90" w:type="dxa"/>
            </w:tcMar>
            <w:vAlign w:val="top"/>
          </w:tcPr>
          <w:p>
            <w:pPr>
              <w:spacing w:before="0" w:after="0" w:line="240" w:lineRule="auto"/>
            </w:pPr>
            <w:r>
              <w:rPr>
                <w:rFonts w:ascii="Calibri" w:hAnsi="Calibri"/>
                <w:b w:val="0"/>
                <w:color w:val="110A24"/>
                <w:sz w:val="15"/>
              </w:rPr>
              <w:t>License expiry approaches</w:t>
            </w:r>
          </w:p>
        </w:tc>
        <w:tc>
          <w:tcPr>
            <w:tcW w:type="dxa" w:w="8424"/>
            <w:tcMar>
              <w:top w:w="90" w:type="dxa"/>
              <w:start w:w="90" w:type="dxa"/>
              <w:bottom w:w="90" w:type="dxa"/>
              <w:end w:w="90" w:type="dxa"/>
            </w:tcMar>
            <w:vAlign w:val="top"/>
          </w:tcPr>
          <w:p>
            <w:pPr>
              <w:spacing w:before="0" w:after="0" w:line="240" w:lineRule="auto"/>
            </w:pPr>
            <w:r>
              <w:rPr>
                <w:rFonts w:ascii="Calibri" w:hAnsi="Calibri"/>
                <w:b w:val="0"/>
                <w:color w:val="110A24"/>
                <w:sz w:val="15"/>
              </w:rPr>
              <w:t>Create renewal task at configured windows, notify owner, escalate if overdue.</w:t>
            </w:r>
          </w:p>
        </w:tc>
      </w:tr>
      <w:tr>
        <w:trPr>
          <w:cantSplit/>
        </w:trPr>
        <w:tc>
          <w:tcPr>
            <w:tcW w:type="dxa" w:w="35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 renewal window opens</w:t>
            </w:r>
          </w:p>
        </w:tc>
        <w:tc>
          <w:tcPr>
            <w:tcW w:type="dxa" w:w="842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renewal plan, notify commercial and customer success owners.</w:t>
            </w:r>
          </w:p>
        </w:tc>
      </w:tr>
      <w:tr>
        <w:trPr>
          <w:cantSplit/>
        </w:trPr>
        <w:tc>
          <w:tcPr>
            <w:tcW w:type="dxa" w:w="3528"/>
            <w:tcMar>
              <w:top w:w="90" w:type="dxa"/>
              <w:start w:w="90" w:type="dxa"/>
              <w:bottom w:w="90" w:type="dxa"/>
              <w:end w:w="90" w:type="dxa"/>
            </w:tcMar>
            <w:vAlign w:val="top"/>
          </w:tcPr>
          <w:p>
            <w:pPr>
              <w:spacing w:before="0" w:after="0" w:line="240" w:lineRule="auto"/>
            </w:pPr>
            <w:r>
              <w:rPr>
                <w:rFonts w:ascii="Calibri" w:hAnsi="Calibri"/>
                <w:b w:val="0"/>
                <w:color w:val="110A24"/>
                <w:sz w:val="15"/>
              </w:rPr>
              <w:t>Unsupported release detected</w:t>
            </w:r>
          </w:p>
        </w:tc>
        <w:tc>
          <w:tcPr>
            <w:tcW w:type="dxa" w:w="8424"/>
            <w:tcMar>
              <w:top w:w="90" w:type="dxa"/>
              <w:start w:w="90" w:type="dxa"/>
              <w:bottom w:w="90" w:type="dxa"/>
              <w:end w:w="90" w:type="dxa"/>
            </w:tcMar>
            <w:vAlign w:val="top"/>
          </w:tcPr>
          <w:p>
            <w:pPr>
              <w:spacing w:before="0" w:after="0" w:line="240" w:lineRule="auto"/>
            </w:pPr>
            <w:r>
              <w:rPr>
                <w:rFonts w:ascii="Calibri" w:hAnsi="Calibri"/>
                <w:b w:val="0"/>
                <w:color w:val="110A24"/>
                <w:sz w:val="15"/>
              </w:rPr>
              <w:t>Create upgrade risk, notify technical owner and customer success.</w:t>
            </w:r>
          </w:p>
        </w:tc>
      </w:tr>
      <w:tr>
        <w:trPr>
          <w:cantSplit/>
        </w:trPr>
        <w:tc>
          <w:tcPr>
            <w:tcW w:type="dxa" w:w="35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Entitlement drift detected</w:t>
            </w:r>
          </w:p>
        </w:tc>
        <w:tc>
          <w:tcPr>
            <w:tcW w:type="dxa" w:w="842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controlled review task, do not silently rewrite the license.</w:t>
            </w:r>
          </w:p>
        </w:tc>
      </w:tr>
      <w:tr>
        <w:trPr>
          <w:cantSplit/>
        </w:trPr>
        <w:tc>
          <w:tcPr>
            <w:tcW w:type="dxa" w:w="3528"/>
            <w:tcMar>
              <w:top w:w="90" w:type="dxa"/>
              <w:start w:w="90" w:type="dxa"/>
              <w:bottom w:w="90" w:type="dxa"/>
              <w:end w:w="90" w:type="dxa"/>
            </w:tcMar>
            <w:vAlign w:val="top"/>
          </w:tcPr>
          <w:p>
            <w:pPr>
              <w:spacing w:before="0" w:after="0" w:line="240" w:lineRule="auto"/>
            </w:pPr>
            <w:r>
              <w:rPr>
                <w:rFonts w:ascii="Calibri" w:hAnsi="Calibri"/>
                <w:b w:val="0"/>
                <w:color w:val="110A24"/>
                <w:sz w:val="15"/>
              </w:rPr>
              <w:t>Critical contact becomes inactive</w:t>
            </w:r>
          </w:p>
        </w:tc>
        <w:tc>
          <w:tcPr>
            <w:tcW w:type="dxa" w:w="8424"/>
            <w:tcMar>
              <w:top w:w="90" w:type="dxa"/>
              <w:start w:w="90" w:type="dxa"/>
              <w:bottom w:w="90" w:type="dxa"/>
              <w:end w:w="90" w:type="dxa"/>
            </w:tcMar>
            <w:vAlign w:val="top"/>
          </w:tcPr>
          <w:p>
            <w:pPr>
              <w:spacing w:before="0" w:after="0" w:line="240" w:lineRule="auto"/>
            </w:pPr>
            <w:r>
              <w:rPr>
                <w:rFonts w:ascii="Calibri" w:hAnsi="Calibri"/>
                <w:b w:val="0"/>
                <w:color w:val="110A24"/>
                <w:sz w:val="15"/>
              </w:rPr>
              <w:t>Create ownership remediation task.</w:t>
            </w:r>
          </w:p>
        </w:tc>
      </w:tr>
      <w:tr>
        <w:trPr>
          <w:cantSplit/>
        </w:trPr>
        <w:tc>
          <w:tcPr>
            <w:tcW w:type="dxa" w:w="35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Access review overdue</w:t>
            </w:r>
          </w:p>
        </w:tc>
        <w:tc>
          <w:tcPr>
            <w:tcW w:type="dxa" w:w="842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Notify reviewer, escalate to security owner.</w:t>
            </w:r>
          </w:p>
        </w:tc>
      </w:tr>
      <w:tr>
        <w:trPr>
          <w:cantSplit/>
        </w:trPr>
        <w:tc>
          <w:tcPr>
            <w:tcW w:type="dxa" w:w="3528"/>
            <w:tcMar>
              <w:top w:w="90" w:type="dxa"/>
              <w:start w:w="90" w:type="dxa"/>
              <w:bottom w:w="90" w:type="dxa"/>
              <w:end w:w="90" w:type="dxa"/>
            </w:tcMar>
            <w:vAlign w:val="top"/>
          </w:tcPr>
          <w:p>
            <w:pPr>
              <w:spacing w:before="0" w:after="0" w:line="240" w:lineRule="auto"/>
            </w:pPr>
            <w:r>
              <w:rPr>
                <w:rFonts w:ascii="Calibri" w:hAnsi="Calibri"/>
                <w:b w:val="0"/>
                <w:color w:val="110A24"/>
                <w:sz w:val="15"/>
              </w:rPr>
              <w:t>High severity support escalation</w:t>
            </w:r>
          </w:p>
        </w:tc>
        <w:tc>
          <w:tcPr>
            <w:tcW w:type="dxa" w:w="8424"/>
            <w:tcMar>
              <w:top w:w="90" w:type="dxa"/>
              <w:start w:w="90" w:type="dxa"/>
              <w:bottom w:w="90" w:type="dxa"/>
              <w:end w:w="90" w:type="dxa"/>
            </w:tcMar>
            <w:vAlign w:val="top"/>
          </w:tcPr>
          <w:p>
            <w:pPr>
              <w:spacing w:before="0" w:after="0" w:line="240" w:lineRule="auto"/>
            </w:pPr>
            <w:r>
              <w:rPr>
                <w:rFonts w:ascii="Calibri" w:hAnsi="Calibri"/>
                <w:b w:val="0"/>
                <w:color w:val="110A24"/>
                <w:sz w:val="15"/>
              </w:rPr>
              <w:t>Create executive visibility task according to support policy.</w:t>
            </w:r>
          </w:p>
        </w:tc>
      </w:tr>
      <w:tr>
        <w:trPr>
          <w:cantSplit/>
        </w:trPr>
        <w:tc>
          <w:tcPr>
            <w:tcW w:type="dxa" w:w="35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Signing key rotation due</w:t>
            </w:r>
          </w:p>
        </w:tc>
        <w:tc>
          <w:tcPr>
            <w:tcW w:type="dxa" w:w="842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security change plan and approval workflow.</w:t>
            </w:r>
          </w:p>
        </w:tc>
      </w:tr>
    </w:tbl>
    <w:p>
      <w:pPr>
        <w:spacing w:after="20"/>
      </w:pPr>
    </w:p>
    <w:p>
      <w:pPr>
        <w:pStyle w:val="ListBullet"/>
        <w:spacing w:before="0" w:after="60" w:line="250" w:lineRule="auto"/>
      </w:pPr>
      <w:r>
        <w:rPr>
          <w:rFonts w:ascii="Calibri" w:hAnsi="Calibri"/>
          <w:color w:val="110A24"/>
          <w:sz w:val="18"/>
        </w:rPr>
        <w:t>Notification channels can include in app, email and approved collaboration tools.</w:t>
      </w:r>
    </w:p>
    <w:p>
      <w:pPr>
        <w:pStyle w:val="ListBullet"/>
        <w:spacing w:before="0" w:after="60" w:line="250" w:lineRule="auto"/>
      </w:pPr>
      <w:r>
        <w:rPr>
          <w:rFonts w:ascii="Calibri" w:hAnsi="Calibri"/>
          <w:color w:val="110A24"/>
          <w:sz w:val="18"/>
        </w:rPr>
        <w:t>Every automation shows trigger, generated action, owner and audit record.</w:t>
      </w:r>
    </w:p>
    <w:p>
      <w:pPr>
        <w:pStyle w:val="ListBullet"/>
        <w:spacing w:before="0" w:after="60" w:line="250" w:lineRule="auto"/>
      </w:pPr>
      <w:r>
        <w:rPr>
          <w:rFonts w:ascii="Calibri" w:hAnsi="Calibri"/>
          <w:color w:val="110A24"/>
          <w:sz w:val="18"/>
        </w:rPr>
        <w:t>No automation issues or revokes a commercial license without the documented governance flow.</w:t>
      </w:r>
    </w:p>
    <w:p>
      <w:pPr>
        <w:pStyle w:val="ListBullet"/>
        <w:spacing w:before="0" w:after="60" w:line="250" w:lineRule="auto"/>
      </w:pPr>
      <w:r>
        <w:rPr>
          <w:rFonts w:ascii="Calibri" w:hAnsi="Calibri"/>
          <w:color w:val="110A24"/>
          <w:sz w:val="18"/>
        </w:rPr>
        <w:t>Rules support enable, disable, owner, scope and test mode. Avoid arbitrary user supplied code in the first version.</w:t>
      </w:r>
    </w:p>
    <w:p>
      <w:pPr>
        <w:pStyle w:val="Heading1"/>
        <w:keepNext/>
      </w:pPr>
      <w:r>
        <w:rPr>
          <w:rFonts w:ascii="Calibri" w:hAnsi="Calibri"/>
          <w:b/>
          <w:color w:val="110A24"/>
          <w:sz w:val="36"/>
        </w:rPr>
        <w:t>26. Analytics, reports and saved views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Report family</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Portfolio</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Customers by product, growth, contract value, renewal exposure, deployment count.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Renewals by month, value at risk, contract status, support tier mix.</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Licensing</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Expiring licenses, state distribution, entitlement drift, issuance volume, revocation history.</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Deployment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Release distribution, unsupported deployments, platform and region mix, upgrade readiness.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Customer success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Health trend, onboarding duration, overdue milestones, QBR coverage, success plan completion.</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Support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Case volume, severity, SLA breach, escalation frequency, support burden by customer.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Finance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Cost by product, cost to serve, gross margin estimate, revenue concentration.</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Security</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Privileged role inventory, access review status, API client age, break glass activity.</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6"/>
              </w:rPr>
              <w:t>Audit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Action volume, actors, affected objects, failure rate, export activity.</w:t>
            </w:r>
          </w:p>
        </w:tc>
      </w:tr>
    </w:tbl>
    <w:p>
      <w:pPr>
        <w:spacing w:after="20"/>
      </w:pPr>
    </w:p>
    <w:p>
      <w:pPr>
        <w:pStyle w:val="ListBullet"/>
        <w:spacing w:before="0" w:after="60" w:line="250" w:lineRule="auto"/>
      </w:pPr>
      <w:r>
        <w:rPr>
          <w:rFonts w:ascii="Calibri" w:hAnsi="Calibri"/>
          <w:color w:val="110A24"/>
          <w:sz w:val="18"/>
        </w:rPr>
        <w:t>Saved views preserve filters, columns, sort and scope. Users can keep private views or share team views subject to permissions.</w:t>
      </w:r>
    </w:p>
    <w:p>
      <w:pPr>
        <w:pStyle w:val="ListBullet"/>
        <w:spacing w:before="0" w:after="60" w:line="250" w:lineRule="auto"/>
      </w:pPr>
      <w:r>
        <w:rPr>
          <w:rFonts w:ascii="Calibri" w:hAnsi="Calibri"/>
          <w:color w:val="110A24"/>
          <w:sz w:val="18"/>
        </w:rPr>
        <w:t>Report builder uses approved fields only and respects row and field level permissions.</w:t>
      </w:r>
    </w:p>
    <w:p>
      <w:pPr>
        <w:pStyle w:val="ListBullet"/>
        <w:spacing w:before="0" w:after="60" w:line="250" w:lineRule="auto"/>
      </w:pPr>
      <w:r>
        <w:rPr>
          <w:rFonts w:ascii="Calibri" w:hAnsi="Calibri"/>
          <w:color w:val="110A24"/>
          <w:sz w:val="18"/>
        </w:rPr>
        <w:t>Exports run asynchronously for large datasets, create an audited export job and provide a time limited download.</w:t>
      </w:r>
    </w:p>
    <w:p>
      <w:pPr>
        <w:pStyle w:val="ListBullet"/>
        <w:spacing w:before="0" w:after="60" w:line="250" w:lineRule="auto"/>
      </w:pPr>
      <w:r>
        <w:rPr>
          <w:rFonts w:ascii="Calibri" w:hAnsi="Calibri"/>
          <w:color w:val="110A24"/>
          <w:sz w:val="18"/>
        </w:rPr>
        <w:t>Executive reports can be scheduled to authorized recipients, but sensitive data is minimized.</w:t>
      </w:r>
    </w:p>
    <w:p>
      <w:pPr>
        <w:pStyle w:val="Heading1"/>
        <w:keepNext/>
      </w:pPr>
      <w:r>
        <w:rPr>
          <w:rFonts w:ascii="Calibri" w:hAnsi="Calibri"/>
          <w:b/>
          <w:color w:val="110A24"/>
          <w:sz w:val="36"/>
        </w:rPr>
        <w:t>27. Data quality and governance</w:t>
      </w:r>
    </w:p>
    <w:p>
      <w:pPr>
        <w:spacing w:before="0" w:after="100" w:line="259" w:lineRule="auto"/>
      </w:pPr>
      <w:r>
        <w:rPr>
          <w:rFonts w:ascii="Calibri" w:hAnsi="Calibri"/>
          <w:b w:val="0"/>
          <w:i w:val="0"/>
          <w:color w:val="110A24"/>
          <w:sz w:val="19"/>
        </w:rPr>
        <w:t>A control plane is only useful if operators trust the records. Data quality is therefore visible and actionable.</w:t>
      </w:r>
    </w:p>
    <w:p>
      <w:pPr>
        <w:pStyle w:val="ListBullet"/>
        <w:spacing w:before="0" w:after="60" w:line="250" w:lineRule="auto"/>
      </w:pPr>
      <w:r>
        <w:rPr>
          <w:rFonts w:ascii="Calibri" w:hAnsi="Calibri"/>
          <w:color w:val="110A24"/>
          <w:sz w:val="18"/>
        </w:rPr>
        <w:t>Data quality center lists missing owners, missing renewal dates, inactive contacts, orphaned deployments, duplicate customers, license without source entitlement, contract without product scope and stale external references.</w:t>
      </w:r>
    </w:p>
    <w:p>
      <w:pPr>
        <w:pStyle w:val="ListBullet"/>
        <w:spacing w:before="0" w:after="60" w:line="250" w:lineRule="auto"/>
      </w:pPr>
      <w:r>
        <w:rPr>
          <w:rFonts w:ascii="Calibri" w:hAnsi="Calibri"/>
          <w:color w:val="110A24"/>
          <w:sz w:val="18"/>
        </w:rPr>
        <w:t>Record completeness score is explainable and based on required fields by lifecycle stage.</w:t>
      </w:r>
    </w:p>
    <w:p>
      <w:pPr>
        <w:pStyle w:val="ListBullet"/>
        <w:spacing w:before="0" w:after="60" w:line="250" w:lineRule="auto"/>
      </w:pPr>
      <w:r>
        <w:rPr>
          <w:rFonts w:ascii="Calibri" w:hAnsi="Calibri"/>
          <w:color w:val="110A24"/>
          <w:sz w:val="18"/>
        </w:rPr>
        <w:t>Duplicate detection suggests merges but never automatically merges customers, contracts or licenses.</w:t>
      </w:r>
    </w:p>
    <w:p>
      <w:pPr>
        <w:pStyle w:val="ListBullet"/>
        <w:spacing w:before="0" w:after="60" w:line="250" w:lineRule="auto"/>
      </w:pPr>
      <w:r>
        <w:rPr>
          <w:rFonts w:ascii="Calibri" w:hAnsi="Calibri"/>
          <w:color w:val="110A24"/>
          <w:sz w:val="18"/>
        </w:rPr>
        <w:t>Source ownership is explicit for synchronized fields. A field controlled by CRM or finance is not casually overwritten in Apporine.</w:t>
      </w:r>
    </w:p>
    <w:p>
      <w:pPr>
        <w:pStyle w:val="ListBullet"/>
        <w:spacing w:before="0" w:after="60" w:line="250" w:lineRule="auto"/>
      </w:pPr>
      <w:r>
        <w:rPr>
          <w:rFonts w:ascii="Calibri" w:hAnsi="Calibri"/>
          <w:color w:val="110A24"/>
          <w:sz w:val="18"/>
        </w:rPr>
        <w:t>Data classification labels fields as Internal, Confidential or Restricted where needed.</w:t>
      </w:r>
    </w:p>
    <w:p>
      <w:pPr>
        <w:pStyle w:val="ListBullet"/>
        <w:spacing w:before="0" w:after="60" w:line="250" w:lineRule="auto"/>
      </w:pPr>
      <w:r>
        <w:rPr>
          <w:rFonts w:ascii="Calibri" w:hAnsi="Calibri"/>
          <w:color w:val="110A24"/>
          <w:sz w:val="18"/>
        </w:rPr>
        <w:t>Retention rules exist for audit, commercial records, support metadata, exports and temporary files.</w:t>
      </w:r>
    </w:p>
    <w:p>
      <w:pPr>
        <w:pStyle w:val="Heading1"/>
        <w:keepNext/>
      </w:pPr>
      <w:r>
        <w:rPr>
          <w:rFonts w:ascii="Calibri" w:hAnsi="Calibri"/>
          <w:b/>
          <w:color w:val="110A24"/>
          <w:sz w:val="36"/>
        </w:rPr>
        <w:t>28. Integrations and APIs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94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Integration class</w:t>
            </w:r>
          </w:p>
        </w:tc>
        <w:tc>
          <w:tcPr>
            <w:tcW w:type="dxa" w:w="367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Examples</w:t>
            </w:r>
          </w:p>
        </w:tc>
        <w:tc>
          <w:tcPr>
            <w:tcW w:type="dxa" w:w="62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Principle</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Identity</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Corporate OIDC or SAML provider.</w:t>
            </w:r>
          </w:p>
        </w:tc>
        <w:tc>
          <w:tcPr>
            <w:tcW w:type="dxa" w:w="6264"/>
            <w:tcMar>
              <w:top w:w="90" w:type="dxa"/>
              <w:start w:w="90" w:type="dxa"/>
              <w:bottom w:w="90" w:type="dxa"/>
              <w:end w:w="90" w:type="dxa"/>
            </w:tcMar>
            <w:vAlign w:val="top"/>
          </w:tcPr>
          <w:p>
            <w:pPr>
              <w:spacing w:before="0" w:after="0" w:line="240" w:lineRule="auto"/>
            </w:pPr>
            <w:r>
              <w:rPr>
                <w:rFonts w:ascii="Calibri" w:hAnsi="Calibri"/>
                <w:b w:val="0"/>
                <w:color w:val="110A24"/>
                <w:sz w:val="15"/>
              </w:rPr>
              <w:t>Identity source remains authoritative.</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CRM</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Salesforce, HubSpot or future approved CRM.</w:t>
            </w:r>
          </w:p>
        </w:tc>
        <w:tc>
          <w:tcPr>
            <w:tcW w:type="dxa" w:w="62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Sync customer and commercial references, do not rebuild marketing automation.</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Finance</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Stripe Billing, accounting or ERP platform.</w:t>
            </w:r>
          </w:p>
        </w:tc>
        <w:tc>
          <w:tcPr>
            <w:tcW w:type="dxa" w:w="6264"/>
            <w:tcMar>
              <w:top w:w="90" w:type="dxa"/>
              <w:start w:w="90" w:type="dxa"/>
              <w:bottom w:w="90" w:type="dxa"/>
              <w:end w:w="90" w:type="dxa"/>
            </w:tcMar>
            <w:vAlign w:val="top"/>
          </w:tcPr>
          <w:p>
            <w:pPr>
              <w:spacing w:before="0" w:after="0" w:line="240" w:lineRule="auto"/>
            </w:pPr>
            <w:r>
              <w:rPr>
                <w:rFonts w:ascii="Calibri" w:hAnsi="Calibri"/>
                <w:b w:val="0"/>
                <w:color w:val="110A24"/>
                <w:sz w:val="15"/>
              </w:rPr>
              <w:t>Sync invoice or subscription references, do not store card data.</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Support</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Jira Service Management, Zendesk, ServiceNow or approved support tool.</w:t>
            </w:r>
          </w:p>
        </w:tc>
        <w:tc>
          <w:tcPr>
            <w:tcW w:type="dxa" w:w="62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Store case metadata and links, minimize copied content.</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Collaboration</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Slack or Microsoft Teams.</w:t>
            </w:r>
          </w:p>
        </w:tc>
        <w:tc>
          <w:tcPr>
            <w:tcW w:type="dxa" w:w="6264"/>
            <w:tcMar>
              <w:top w:w="90" w:type="dxa"/>
              <w:start w:w="90" w:type="dxa"/>
              <w:bottom w:w="90" w:type="dxa"/>
              <w:end w:w="90" w:type="dxa"/>
            </w:tcMar>
            <w:vAlign w:val="top"/>
          </w:tcPr>
          <w:p>
            <w:pPr>
              <w:spacing w:before="0" w:after="0" w:line="240" w:lineRule="auto"/>
            </w:pPr>
            <w:r>
              <w:rPr>
                <w:rFonts w:ascii="Calibri" w:hAnsi="Calibri"/>
                <w:b w:val="0"/>
                <w:color w:val="110A24"/>
                <w:sz w:val="15"/>
              </w:rPr>
              <w:t>Deliver approved notifications, never expose secrets.</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AWS Cost</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AWS cost and usage data.</w:t>
            </w:r>
          </w:p>
        </w:tc>
        <w:tc>
          <w:tcPr>
            <w:tcW w:type="dxa" w:w="62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Attribute Apporine infrastructure cost by account, product and environment tags.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Source and release</w:t>
            </w:r>
          </w:p>
        </w:tc>
        <w:tc>
          <w:tcPr>
            <w:tcW w:type="dxa" w:w="3672"/>
            <w:tcMar>
              <w:top w:w="90" w:type="dxa"/>
              <w:start w:w="90" w:type="dxa"/>
              <w:bottom w:w="90" w:type="dxa"/>
              <w:end w:w="90" w:type="dxa"/>
            </w:tcMar>
            <w:vAlign w:val="top"/>
          </w:tcPr>
          <w:p>
            <w:pPr>
              <w:spacing w:before="0" w:after="0" w:line="240" w:lineRule="auto"/>
            </w:pPr>
            <w:r>
              <w:rPr>
                <w:rFonts w:ascii="Calibri" w:hAnsi="Calibri"/>
                <w:b w:val="0"/>
                <w:color w:val="110A24"/>
                <w:sz w:val="15"/>
              </w:rPr>
              <w:t>GitHub and CI system.</w:t>
            </w:r>
          </w:p>
        </w:tc>
        <w:tc>
          <w:tcPr>
            <w:tcW w:type="dxa" w:w="6264"/>
            <w:tcMar>
              <w:top w:w="90" w:type="dxa"/>
              <w:start w:w="90" w:type="dxa"/>
              <w:bottom w:w="90" w:type="dxa"/>
              <w:end w:w="90" w:type="dxa"/>
            </w:tcMar>
            <w:vAlign w:val="top"/>
          </w:tcPr>
          <w:p>
            <w:pPr>
              <w:spacing w:before="0" w:after="0" w:line="240" w:lineRule="auto"/>
            </w:pPr>
            <w:r>
              <w:rPr>
                <w:rFonts w:ascii="Calibri" w:hAnsi="Calibri"/>
                <w:b w:val="0"/>
                <w:color w:val="110A24"/>
                <w:sz w:val="15"/>
              </w:rPr>
              <w:t>Link releases, commits, artifacts and attestations.</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SIEM</w:t>
            </w:r>
          </w:p>
        </w:tc>
        <w:tc>
          <w:tcPr>
            <w:tcW w:type="dxa" w:w="36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or Apporine security platform.</w:t>
            </w:r>
          </w:p>
        </w:tc>
        <w:tc>
          <w:tcPr>
            <w:tcW w:type="dxa" w:w="62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Stream admin audit events when enabled.</w:t>
            </w:r>
          </w:p>
        </w:tc>
      </w:tr>
    </w:tbl>
    <w:p>
      <w:pPr>
        <w:spacing w:after="20"/>
      </w:pPr>
    </w:p>
    <w:p>
      <w:pPr>
        <w:pStyle w:val="ListBullet"/>
        <w:spacing w:before="0" w:after="60" w:line="250" w:lineRule="auto"/>
      </w:pPr>
      <w:r>
        <w:rPr>
          <w:rFonts w:ascii="Calibri" w:hAnsi="Calibri"/>
          <w:color w:val="110A24"/>
          <w:sz w:val="18"/>
        </w:rPr>
        <w:t>Every integration has owner, purpose, scopes, credentials reference, data classes, last success, last failure and disable action.</w:t>
      </w:r>
    </w:p>
    <w:p>
      <w:pPr>
        <w:pStyle w:val="ListBullet"/>
        <w:spacing w:before="0" w:after="60" w:line="250" w:lineRule="auto"/>
      </w:pPr>
      <w:r>
        <w:rPr>
          <w:rFonts w:ascii="Calibri" w:hAnsi="Calibri"/>
          <w:color w:val="110A24"/>
          <w:sz w:val="18"/>
        </w:rPr>
        <w:t>Inbound webhooks are verified, idempotent and replay safe.</w:t>
      </w:r>
    </w:p>
    <w:p>
      <w:pPr>
        <w:pStyle w:val="ListBullet"/>
        <w:spacing w:before="0" w:after="60" w:line="250" w:lineRule="auto"/>
      </w:pPr>
      <w:r>
        <w:rPr>
          <w:rFonts w:ascii="Calibri" w:hAnsi="Calibri"/>
          <w:color w:val="110A24"/>
          <w:sz w:val="18"/>
        </w:rPr>
        <w:t>Outbound webhooks use signing, retry and dead letter handling.</w:t>
      </w:r>
    </w:p>
    <w:p>
      <w:pPr>
        <w:pStyle w:val="ListBullet"/>
        <w:spacing w:before="0" w:after="60" w:line="250" w:lineRule="auto"/>
      </w:pPr>
      <w:r>
        <w:rPr>
          <w:rFonts w:ascii="Calibri" w:hAnsi="Calibri"/>
          <w:color w:val="110A24"/>
          <w:sz w:val="18"/>
        </w:rPr>
        <w:t>API clients have explicit scopes, rotation policy, last use and revocation.</w:t>
      </w:r>
    </w:p>
    <w:p>
      <w:pPr>
        <w:pStyle w:val="Heading1"/>
        <w:keepNext/>
      </w:pPr>
      <w:r>
        <w:rPr>
          <w:rFonts w:ascii="Calibri" w:hAnsi="Calibri"/>
          <w:b/>
          <w:color w:val="110A24"/>
          <w:sz w:val="36"/>
        </w:rPr>
        <w:t>29. Apporine AI operator assistant</w:t>
      </w:r>
    </w:p>
    <w:p>
      <w:pPr>
        <w:spacing w:before="0" w:after="100" w:line="259" w:lineRule="auto"/>
      </w:pPr>
      <w:r>
        <w:rPr>
          <w:rFonts w:ascii="Calibri" w:hAnsi="Calibri"/>
          <w:b w:val="0"/>
          <w:i w:val="0"/>
          <w:color w:val="110A24"/>
          <w:sz w:val="19"/>
        </w:rPr>
        <w:t>A controlled internal AI assistant can make the control plane stand out without becoming an uncontrolled admin agent.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Capability</w:t>
            </w:r>
          </w:p>
        </w:tc>
        <w:tc>
          <w:tcPr>
            <w:tcW w:type="dxa" w:w="518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Allowed behavior</w:t>
            </w:r>
          </w:p>
        </w:tc>
        <w:tc>
          <w:tcPr>
            <w:tcW w:type="dxa" w:w="468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Prohibited default behavior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Portfolio brief</w:t>
            </w:r>
          </w:p>
        </w:tc>
        <w:tc>
          <w:tcPr>
            <w:tcW w:type="dxa" w:w="5184"/>
            <w:tcMar>
              <w:top w:w="90" w:type="dxa"/>
              <w:start w:w="90" w:type="dxa"/>
              <w:bottom w:w="90" w:type="dxa"/>
              <w:end w:w="90" w:type="dxa"/>
            </w:tcMar>
            <w:vAlign w:val="top"/>
          </w:tcPr>
          <w:p>
            <w:pPr>
              <w:spacing w:before="0" w:after="0" w:line="240" w:lineRule="auto"/>
            </w:pPr>
            <w:r>
              <w:rPr>
                <w:rFonts w:ascii="Calibri" w:hAnsi="Calibri"/>
                <w:b w:val="0"/>
                <w:color w:val="110A24"/>
                <w:sz w:val="15"/>
              </w:rPr>
              <w:t>Summarize renewals, risk, health, deployment exposure and approvals for the current user scope.</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No hidden access to unauthorized customer fields.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brief</w:t>
            </w:r>
          </w:p>
        </w:tc>
        <w:tc>
          <w:tcPr>
            <w:tcW w:type="dxa" w:w="51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Draft a customer summary from Customer 360, contracts, support metadata and timeline.</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invention of customer facts.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Renewal brief</w:t>
            </w:r>
          </w:p>
        </w:tc>
        <w:tc>
          <w:tcPr>
            <w:tcW w:type="dxa" w:w="5184"/>
            <w:tcMar>
              <w:top w:w="90" w:type="dxa"/>
              <w:start w:w="90" w:type="dxa"/>
              <w:bottom w:w="90" w:type="dxa"/>
              <w:end w:w="90" w:type="dxa"/>
            </w:tcMar>
            <w:vAlign w:val="top"/>
          </w:tcPr>
          <w:p>
            <w:pPr>
              <w:spacing w:before="0" w:after="0" w:line="240" w:lineRule="auto"/>
            </w:pPr>
            <w:r>
              <w:rPr>
                <w:rFonts w:ascii="Calibri" w:hAnsi="Calibri"/>
                <w:b w:val="0"/>
                <w:color w:val="110A24"/>
                <w:sz w:val="15"/>
              </w:rPr>
              <w:t>Summarize value, health, support burden, open risks and entitlement changes.</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No automatic contract or entitlement mutation.</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Release impact</w:t>
            </w:r>
          </w:p>
        </w:tc>
        <w:tc>
          <w:tcPr>
            <w:tcW w:type="dxa" w:w="51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Explain which customers or deployments are affected by a release or end of support event.</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automatic upgrade scheduling without approval.</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val="0"/>
                <w:color w:val="110A24"/>
                <w:sz w:val="15"/>
              </w:rPr>
              <w:t>Audit explanation</w:t>
            </w:r>
          </w:p>
        </w:tc>
        <w:tc>
          <w:tcPr>
            <w:tcW w:type="dxa" w:w="5184"/>
            <w:tcMar>
              <w:top w:w="90" w:type="dxa"/>
              <w:start w:w="90" w:type="dxa"/>
              <w:bottom w:w="90" w:type="dxa"/>
              <w:end w:w="90" w:type="dxa"/>
            </w:tcMar>
            <w:vAlign w:val="top"/>
          </w:tcPr>
          <w:p>
            <w:pPr>
              <w:spacing w:before="0" w:after="0" w:line="240" w:lineRule="auto"/>
            </w:pPr>
            <w:r>
              <w:rPr>
                <w:rFonts w:ascii="Calibri" w:hAnsi="Calibri"/>
                <w:b w:val="0"/>
                <w:color w:val="110A24"/>
                <w:sz w:val="15"/>
              </w:rPr>
              <w:t>Explain an audit event chain in plain language and link source events.</w:t>
            </w:r>
          </w:p>
        </w:tc>
        <w:tc>
          <w:tcPr>
            <w:tcW w:type="dxa" w:w="4680"/>
            <w:tcMar>
              <w:top w:w="90" w:type="dxa"/>
              <w:start w:w="90" w:type="dxa"/>
              <w:bottom w:w="90" w:type="dxa"/>
              <w:end w:w="90" w:type="dxa"/>
            </w:tcMar>
            <w:vAlign w:val="top"/>
          </w:tcPr>
          <w:p>
            <w:pPr>
              <w:spacing w:before="0" w:after="0" w:line="240" w:lineRule="auto"/>
            </w:pPr>
            <w:r>
              <w:rPr>
                <w:rFonts w:ascii="Calibri" w:hAnsi="Calibri"/>
                <w:b w:val="0"/>
                <w:color w:val="110A24"/>
                <w:sz w:val="15"/>
              </w:rPr>
              <w:t>No deletion or rewriting of audit.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Natural language search</w:t>
            </w:r>
          </w:p>
        </w:tc>
        <w:tc>
          <w:tcPr>
            <w:tcW w:type="dxa" w:w="518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Convert user question into permission aware filters or report query.</w:t>
            </w:r>
          </w:p>
        </w:tc>
        <w:tc>
          <w:tcPr>
            <w:tcW w:type="dxa" w:w="468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bypass of row or field permissions.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2EDFF"/>
            <w:tcMar>
              <w:top w:w="120" w:type="dxa"/>
              <w:start w:w="160" w:type="dxa"/>
              <w:bottom w:w="120" w:type="dxa"/>
              <w:end w:w="160" w:type="dxa"/>
            </w:tcMar>
            <w:tcBorders>
              <w:left w:val="single" w:sz="18" w:color="7040FF"/>
            </w:tcBorders>
          </w:tcPr>
          <w:p>
            <w:pPr>
              <w:spacing w:before="0" w:after="40" w:line="240" w:lineRule="auto"/>
            </w:pPr>
            <w:r>
              <w:rPr>
                <w:rFonts w:ascii="Calibri" w:hAnsi="Calibri"/>
                <w:b/>
                <w:color w:val="110A24"/>
                <w:sz w:val="20"/>
              </w:rPr>
              <w:t>AI governance</w:t>
            </w:r>
          </w:p>
          <w:p>
            <w:pPr>
              <w:spacing w:before="0" w:after="0" w:line="252" w:lineRule="auto"/>
            </w:pPr>
            <w:r>
              <w:rPr>
                <w:rFonts w:ascii="Calibri" w:hAnsi="Calibri"/>
                <w:color w:val="110A24"/>
                <w:sz w:val="18"/>
              </w:rPr>
              <w:t>Read only by default. Any proposed mutation becomes a normal visible action with the same validation, reason capture, approval and audit as a human initiated change.</w:t>
            </w:r>
          </w:p>
        </w:tc>
      </w:tr>
    </w:tbl>
    <w:p>
      <w:pPr>
        <w:spacing w:after="20"/>
      </w:pPr>
    </w:p>
    <w:p>
      <w:pPr>
        <w:pStyle w:val="Heading1"/>
        <w:keepNext/>
      </w:pPr>
      <w:r>
        <w:rPr>
          <w:rFonts w:ascii="Calibri" w:hAnsi="Calibri"/>
          <w:b/>
          <w:color w:val="110A24"/>
          <w:sz w:val="36"/>
        </w:rPr>
        <w:t>30. UI screen inventory and exact content contract</w:t>
      </w:r>
    </w:p>
    <w:p>
      <w:pPr>
        <w:spacing w:before="0" w:after="100" w:line="259" w:lineRule="auto"/>
      </w:pPr>
      <w:r>
        <w:rPr>
          <w:rFonts w:ascii="Calibri" w:hAnsi="Calibri"/>
          <w:b w:val="0"/>
          <w:i w:val="0"/>
          <w:color w:val="110A24"/>
          <w:sz w:val="19"/>
        </w:rPr>
        <w:t>The following screens are the minimum professional surface set. Cursor must not reduce this to a few generic CRUD pages.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94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Module</w:t>
            </w:r>
          </w:p>
        </w:tc>
        <w:tc>
          <w:tcPr>
            <w:tcW w:type="dxa" w:w="1000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screens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Home</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Portfolio command center, Operational inbox, My tasks.</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 list, Product detail, Entitlement catalog, Product customers, Release train.</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Customers</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Customer list, Customer 360, Contact detail, Account relationship map, Customer timeline.</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Onboarding</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Onboarding board, Onboarding detail, Checklist template.</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Commercial</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Contract list, Contract detail, Renewal radar, Renewal workspace.</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Entitlements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Entitlement definitions, Customer entitlement detail, Drift review.</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Licensing</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License list, License detail, Issue flow, Renew flow, Suspend flow, Revoke flow, Artifact verify.</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Deployments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Fleet list, Deployment detail, Release heatmap, Upgrade readiness.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Releases</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Release list, Release detail, Compatibility matrix, Customer impact preview.</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Success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Health overview, Customer health detail, Success plan, QBR record, Risk register.</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Support</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Support overview, Case references, Escalation workspace, SLA report.</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Approvals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Approval queue, Approval detail, My decisions.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Finance</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summary, Cost to serve, Margin estimate, Cost attribution.</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Security</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Staff access, Role detail, Access review, API clients, Signing key metadata, Break glass.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Audit</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Audit log, Audit analytics, Export center.</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Analytics</w:t>
            </w:r>
          </w:p>
        </w:tc>
        <w:tc>
          <w:tcPr>
            <w:tcW w:type="dxa" w:w="1000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Report library, Report builder, Saved views, Scheduled reports.</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Settings</w:t>
            </w:r>
          </w:p>
        </w:tc>
        <w:tc>
          <w:tcPr>
            <w:tcW w:type="dxa" w:w="10008"/>
            <w:tcMar>
              <w:top w:w="90" w:type="dxa"/>
              <w:start w:w="90" w:type="dxa"/>
              <w:bottom w:w="90" w:type="dxa"/>
              <w:end w:w="90" w:type="dxa"/>
            </w:tcMar>
            <w:vAlign w:val="top"/>
          </w:tcPr>
          <w:p>
            <w:pPr>
              <w:spacing w:before="0" w:after="0" w:line="240" w:lineRule="auto"/>
            </w:pPr>
            <w:r>
              <w:rPr>
                <w:rFonts w:ascii="Calibri" w:hAnsi="Calibri"/>
                <w:b w:val="0"/>
                <w:color w:val="110A24"/>
                <w:sz w:val="15"/>
              </w:rPr>
              <w:t>Organization, Identity, Notifications, Integrations, Data policy, Environments.</w:t>
            </w:r>
          </w:p>
        </w:tc>
      </w:tr>
    </w:tbl>
    <w:p>
      <w:pPr>
        <w:spacing w:after="20"/>
      </w:pPr>
    </w:p>
    <w:p>
      <w:pPr>
        <w:pStyle w:val="Heading2"/>
        <w:keepNext/>
      </w:pPr>
      <w:r>
        <w:rPr>
          <w:rFonts w:ascii="Calibri" w:hAnsi="Calibri"/>
          <w:b/>
          <w:color w:val="7040FF"/>
          <w:sz w:val="26"/>
        </w:rPr>
        <w:t>30.1 Critical screen specifications</w:t>
      </w:r>
    </w:p>
    <w:p>
      <w:pPr>
        <w:pStyle w:val="Heading3"/>
        <w:keepNext/>
      </w:pPr>
      <w:r>
        <w:rPr>
          <w:rFonts w:ascii="Calibri" w:hAnsi="Calibri"/>
          <w:b/>
          <w:color w:val="110A24"/>
          <w:sz w:val="21"/>
        </w:rPr>
        <w:t>Portfolio command center</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Give founders and operators a truthful portfolio view and prioritized work queue.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Top summary row, two column analytics grid, right operational inbox, filter bar pinned below header.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Create customer</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Create task, Open approvals, Export summary</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Active customers, contract value, renewals, deployments, license risk, health, release exposure, cost and approval backlog.</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Trend lines, horizontal bars, small multiples and prioritized tables using restrained palette.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Loading, partial data, permission limited, no customers, integration stale, export in progress.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Permission filtered by module and commercial data rights.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Every visible metric drills to records. No number appears without a definable source query.</w:t>
            </w:r>
          </w:p>
        </w:tc>
      </w:tr>
    </w:tbl>
    <w:p>
      <w:pPr>
        <w:spacing w:after="20"/>
      </w:pPr>
    </w:p>
    <w:p>
      <w:pPr>
        <w:pStyle w:val="Heading3"/>
        <w:keepNext/>
      </w:pPr>
      <w:r>
        <w:rPr>
          <w:rFonts w:ascii="Calibri" w:hAnsi="Calibri"/>
          <w:b/>
          <w:color w:val="110A24"/>
          <w:sz w:val="21"/>
        </w:rPr>
        <w:t>Customer list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Find and prioritize customers quickly.</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Dense table, filter rail, saved views, column manager, bulk selection where safe.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Create customer</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Import reference, Export, Save view</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Customer name, ID, products, lifecycle, health, renewal, contract value, owners, license state, deployment count, last activity.</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Optional health sparkline and renewal countdown.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Empty, no filter result, permission limited, stale integration, duplicate suspected.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 fields hidden for users without finance or commercial read.</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An operator can locate a customer by name, ID, owner, product, region, renewal or risk in seconds.</w:t>
            </w:r>
          </w:p>
        </w:tc>
      </w:tr>
    </w:tbl>
    <w:p>
      <w:pPr>
        <w:spacing w:after="20"/>
      </w:pPr>
    </w:p>
    <w:p>
      <w:pPr>
        <w:pStyle w:val="Heading3"/>
        <w:keepNext/>
      </w:pPr>
      <w:r>
        <w:rPr>
          <w:rFonts w:ascii="Calibri" w:hAnsi="Calibri"/>
          <w:b/>
          <w:color w:val="110A24"/>
          <w:sz w:val="21"/>
        </w:rPr>
        <w:t>Customer 360</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Operate the complete Apporine relationship from one workspace.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Header summary, left identity and owners, main tab workspace, right rail for next actions and risks.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Create task</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Edit customer, Add contact, Add contract, Issue license request, Add deployment, Export dossier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Identity, lifecycle, owners, products, contracts, licenses, deployments, support, health, finance, timeline and audit.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Health trend, lifecycle progress, deployment release distribution, renewal countdown.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Healthy, watch, at risk, onboarding, offboarding, incomplete record.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Sensitive fields and tabs are role and scope filtered.</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Authorized user understands customer state and next action without opening another internal page.</w:t>
            </w:r>
          </w:p>
        </w:tc>
      </w:tr>
    </w:tbl>
    <w:p>
      <w:pPr>
        <w:spacing w:after="20"/>
      </w:pPr>
    </w:p>
    <w:p>
      <w:pPr>
        <w:pStyle w:val="Heading3"/>
        <w:keepNext/>
      </w:pPr>
      <w:r>
        <w:rPr>
          <w:rFonts w:ascii="Calibri" w:hAnsi="Calibri"/>
          <w:b/>
          <w:color w:val="110A24"/>
          <w:sz w:val="21"/>
        </w:rPr>
        <w:t>License detail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Show exactly what was signed, why, when, by whom and where it is used.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Status header, immutable revision selector, entitlement table, deployment bindings, delivery and audit tabs.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Renew license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Replace, Rebind, Suspend, Revoke, Download artifact, Verify artifact</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License ID, revision, customer, product, validity, state, source contract, entitlements, signing key ID, payload hash, artifact fingerprint.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Expiry timeline and deployment binding summary.</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Active, grace, expired, suspended, revoked, superseded, verification failed.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Issue and mutation actions depend on license role, approval policy and step up authentication.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No signed revision can be silently edited. Every change creates traceable evidence.</w:t>
            </w:r>
          </w:p>
        </w:tc>
      </w:tr>
    </w:tbl>
    <w:p>
      <w:pPr>
        <w:spacing w:after="20"/>
      </w:pPr>
    </w:p>
    <w:p>
      <w:pPr>
        <w:pStyle w:val="Heading3"/>
        <w:keepNext/>
      </w:pPr>
      <w:r>
        <w:rPr>
          <w:rFonts w:ascii="Calibri" w:hAnsi="Calibri"/>
          <w:b/>
          <w:color w:val="110A24"/>
          <w:sz w:val="21"/>
        </w:rPr>
        <w:t>Deployment detail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Track a customer authorized installation without becoming a remote administration tunnel.</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Summary header, environment card, release card, license card, supported metadata, timeline and risks.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Create support task</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Update metadata, Record upgrade plan, View release compatibility</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Customer, product, environment, platform, region, cluster ID, release, support state, license binding, last check in and owner.</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Release support timeline, risk markers, upgrade readiness.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Supported, review needed, unsupported, stale check in, license mismatch, unknown health.</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Customer production access is never implied by this screen.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Apporine can determine support and commercial state from approved metadata only.</w:t>
            </w:r>
          </w:p>
        </w:tc>
      </w:tr>
    </w:tbl>
    <w:p>
      <w:pPr>
        <w:spacing w:after="20"/>
      </w:pPr>
    </w:p>
    <w:p>
      <w:pPr>
        <w:pStyle w:val="Heading3"/>
        <w:keepNext/>
      </w:pPr>
      <w:r>
        <w:rPr>
          <w:rFonts w:ascii="Calibri" w:hAnsi="Calibri"/>
          <w:b/>
          <w:color w:val="110A24"/>
          <w:sz w:val="21"/>
        </w:rPr>
        <w:t>Renewal workspace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Coordinate renewal before the contract deadline.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Header with countdown and value, health and risk column, contract summary, entitlement change proposal, tasks and notes.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Create renewal proposal</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Request entitlement review, Schedule QBR, Create task</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Current value, target value, contract dates, notice date, health, support burden, product adoption, open risks, proposed entitlement changes.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Renewal countdown, health trend, value at risk indicator.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Not started, discovery, proposal, negotiation, committed, renewed, lost.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Commercial and finance data restricted by role.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Owner can see everything needed to execute renewal and explain risk.</w:t>
            </w:r>
          </w:p>
        </w:tc>
      </w:tr>
    </w:tbl>
    <w:p>
      <w:pPr>
        <w:spacing w:after="20"/>
      </w:pPr>
    </w:p>
    <w:p>
      <w:pPr>
        <w:pStyle w:val="Heading3"/>
        <w:keepNext/>
      </w:pPr>
      <w:r>
        <w:rPr>
          <w:rFonts w:ascii="Calibri" w:hAnsi="Calibri"/>
          <w:b/>
          <w:color w:val="110A24"/>
          <w:sz w:val="21"/>
        </w:rPr>
        <w:t>Approval detail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Make a high impact decision with full context.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Action summary, before and after diff, policy requirements, requester, affected records, evidence, decision panel.</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Approve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Reject, Request changes, Open target</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Target, action, reason, impact, diff, approvers, expiry, authentication requirement, evidence.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No decorative chart. Use clear structured diff.</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Pending, expiring, approved, rejected, expired, cancelled.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Cannot self approve where policy requires separation.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Decision is informed, explicit and auditable.</w:t>
            </w:r>
          </w:p>
        </w:tc>
      </w:tr>
    </w:tbl>
    <w:p>
      <w:pPr>
        <w:spacing w:after="20"/>
      </w:pPr>
    </w:p>
    <w:p>
      <w:pPr>
        <w:pStyle w:val="Heading3"/>
        <w:keepNext/>
      </w:pPr>
      <w:r>
        <w:rPr>
          <w:rFonts w:ascii="Calibri" w:hAnsi="Calibri"/>
          <w:b/>
          <w:color w:val="110A24"/>
          <w:sz w:val="21"/>
        </w:rPr>
        <w:t>Security posture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Show internal access and key risks.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Summary cards, risk table, access review status, API client age, break glass activity, signing key timeline.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Start access review</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Open staff, Open API clients, Open signing keys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Privileged staff, stale access, key rotation, break glass, auth failures, security exceptions.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Risk trend and access review completion.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Healthy, attention, overdue review, key rotation due.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Security Admin and Auditor scopes.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Security team can identify the most important control plane access risks quickly.</w:t>
            </w:r>
          </w:p>
        </w:tc>
      </w:tr>
    </w:tbl>
    <w:p>
      <w:pPr>
        <w:spacing w:after="20"/>
      </w:pPr>
    </w:p>
    <w:p>
      <w:pPr>
        <w:pStyle w:val="Heading3"/>
        <w:keepNext/>
      </w:pPr>
      <w:r>
        <w:rPr>
          <w:rFonts w:ascii="Calibri" w:hAnsi="Calibri"/>
          <w:b/>
          <w:color w:val="110A24"/>
          <w:sz w:val="21"/>
        </w:rPr>
        <w:t>Audit log</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Investigate who changed what and when.</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Analytics summary, synchronized filter bar, dense event table, detail drawer.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Export audit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Save view, Stream settings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Timestamp, actor, effective identity, action, object, customer, product, reason, result, request ID, correlation ID, source.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Action volume over time, unique actors, products impacted, failure rate.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No results, stream delayed, export queued, permission masked.</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Sensitive before and after fields are field permission aware.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A reviewer can reconstruct any privileged action end to end.</w:t>
            </w:r>
          </w:p>
        </w:tc>
      </w:tr>
    </w:tbl>
    <w:p>
      <w:pPr>
        <w:spacing w:after="20"/>
      </w:pPr>
    </w:p>
    <w:p>
      <w:pPr>
        <w:pStyle w:val="Heading3"/>
        <w:keepNext/>
      </w:pPr>
      <w:r>
        <w:rPr>
          <w:rFonts w:ascii="Calibri" w:hAnsi="Calibri"/>
          <w:b/>
          <w:color w:val="110A24"/>
          <w:sz w:val="21"/>
        </w:rPr>
        <w:t>Cost to serve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Item</w:t>
            </w:r>
          </w:p>
        </w:tc>
        <w:tc>
          <w:tcPr>
            <w:tcW w:type="dxa" w:w="99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Specification</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Purpose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Understand Apporine direct service economics.</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Layout</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Summary metrics, product trend, customer table, cost source status and methodology note.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Primary action</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Export report</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Secondary actions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Change allocation view, Open customer</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Core content</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Cloud cost, support hours, allocated operating cost, contract value, margin estimate.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Visuals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Trend line, horizontal bars, concentration table.</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States</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Cost data delayed, incomplete allocation, external data unavailable.</w:t>
            </w:r>
          </w:p>
        </w:tc>
      </w:tr>
      <w:tr>
        <w:trPr>
          <w:cantSplit/>
        </w:trPr>
        <w:tc>
          <w:tcPr>
            <w:tcW w:type="dxa" w:w="2016"/>
            <w:shd w:fill="FBFAFC"/>
            <w:tcMar>
              <w:top w:w="90" w:type="dxa"/>
              <w:start w:w="90" w:type="dxa"/>
              <w:bottom w:w="90" w:type="dxa"/>
              <w:end w:w="90" w:type="dxa"/>
            </w:tcMar>
            <w:vAlign w:val="top"/>
          </w:tcPr>
          <w:p>
            <w:pPr>
              <w:spacing w:before="0" w:after="0" w:line="240" w:lineRule="auto"/>
            </w:pPr>
            <w:r>
              <w:rPr>
                <w:rFonts w:ascii="Calibri" w:hAnsi="Calibri"/>
                <w:b/>
                <w:color w:val="110A24"/>
                <w:sz w:val="16"/>
              </w:rPr>
              <w:t>Permissions</w:t>
            </w:r>
          </w:p>
        </w:tc>
        <w:tc>
          <w:tcPr>
            <w:tcW w:type="dxa" w:w="993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Finance and Executive roles.</w:t>
            </w:r>
          </w:p>
        </w:tc>
      </w:tr>
      <w:tr>
        <w:trPr>
          <w:cantSplit/>
        </w:trPr>
        <w:tc>
          <w:tcPr>
            <w:tcW w:type="dxa" w:w="2016"/>
            <w:tcMar>
              <w:top w:w="90" w:type="dxa"/>
              <w:start w:w="90" w:type="dxa"/>
              <w:bottom w:w="90" w:type="dxa"/>
              <w:end w:w="90" w:type="dxa"/>
            </w:tcMar>
            <w:vAlign w:val="top"/>
          </w:tcPr>
          <w:p>
            <w:pPr>
              <w:spacing w:before="0" w:after="0" w:line="240" w:lineRule="auto"/>
            </w:pPr>
            <w:r>
              <w:rPr>
                <w:rFonts w:ascii="Calibri" w:hAnsi="Calibri"/>
                <w:b/>
                <w:color w:val="110A24"/>
                <w:sz w:val="16"/>
              </w:rPr>
              <w:t>Acceptance</w:t>
            </w:r>
          </w:p>
        </w:tc>
        <w:tc>
          <w:tcPr>
            <w:tcW w:type="dxa" w:w="9936"/>
            <w:tcMar>
              <w:top w:w="90" w:type="dxa"/>
              <w:start w:w="90" w:type="dxa"/>
              <w:bottom w:w="90" w:type="dxa"/>
              <w:end w:w="90" w:type="dxa"/>
            </w:tcMar>
            <w:vAlign w:val="top"/>
          </w:tcPr>
          <w:p>
            <w:pPr>
              <w:spacing w:before="0" w:after="0" w:line="240" w:lineRule="auto"/>
            </w:pPr>
            <w:r>
              <w:rPr>
                <w:rFonts w:ascii="Calibri" w:hAnsi="Calibri"/>
                <w:b w:val="0"/>
                <w:color w:val="110A24"/>
                <w:sz w:val="16"/>
              </w:rPr>
              <w:t>Every estimate is labeled, sourced and drillable. No false precision.</w:t>
            </w:r>
          </w:p>
        </w:tc>
      </w:tr>
    </w:tbl>
    <w:p>
      <w:pPr>
        <w:spacing w:after="20"/>
      </w:pPr>
    </w:p>
    <w:p>
      <w:pPr>
        <w:pStyle w:val="Heading1"/>
        <w:keepNext/>
      </w:pPr>
      <w:r>
        <w:rPr>
          <w:rFonts w:ascii="Calibri" w:hAnsi="Calibri"/>
          <w:b/>
          <w:color w:val="110A24"/>
          <w:sz w:val="36"/>
        </w:rPr>
        <w:t>31. Button, dialog and microcopy contract</w:t>
      </w:r>
    </w:p>
    <w:p>
      <w:pPr>
        <w:spacing w:before="0" w:after="100" w:line="259" w:lineRule="auto"/>
      </w:pPr>
      <w:r>
        <w:rPr>
          <w:rFonts w:ascii="Calibri" w:hAnsi="Calibri"/>
          <w:b w:val="0"/>
          <w:i w:val="0"/>
          <w:color w:val="110A24"/>
          <w:sz w:val="19"/>
        </w:rPr>
        <w:t>Button language is short, specific and action oriented. Avoid vague labels such as Submit, Confirm or Process when a clearer verb exists.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94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Action</w:t>
            </w:r>
          </w:p>
        </w:tc>
        <w:tc>
          <w:tcPr>
            <w:tcW w:type="dxa" w:w="208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Button label</w:t>
            </w:r>
          </w:p>
        </w:tc>
        <w:tc>
          <w:tcPr>
            <w:tcW w:type="dxa" w:w="259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Dialog title</w:t>
            </w:r>
          </w:p>
        </w:tc>
        <w:tc>
          <w:tcPr>
            <w:tcW w:type="dxa" w:w="532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Required message</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Create customer</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Create customer</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Create customer</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Create a new Apporine customer record. You can add products, contracts, licenses and deployments after the customer exists.</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Issue license</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Issue license</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Issue commercial license</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This creates a new signed license revision. It does not rebuild or modify the product application image.</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Renew license</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Renew license</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Renew commercial license</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Review validity, entitlements and deployment allowance before creating the new signed revision.</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Suspend license</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Suspend license</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Suspend license</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Suspension changes the commercial state according to policy. Enter the reason and review affected deployments before continuing.</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Revoke license</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Revoke license</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Revoke license</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This is a high impact action. Review the contractual reason, affected deployments and customer communication before requesting revocation.</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Approve request</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Approve</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Approve governed action</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By approving, you confirm that the request, impact and supporting evidence meet the required policy.</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Reject request</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Reject</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Reject governed action</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Enter a clear reason. The rejection becomes part of the permanent decision history.</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contract</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contract</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contract record</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the operating contract record and link the approved source document or external system reference.</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Add deployment</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Add deployment</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Register deployment</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Register an authorized customer deployment. Do not enter customer secrets or production credentials.</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Export customer dossier</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Export dossier</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Export customer dossier</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The export contains only fields you are authorized to view. The export event is recorded in audit.</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Start access review</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Start review</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Start access review</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Choose the reviewer scope and due date. Existing access remains unchanged until review decisions are applied.</w:t>
            </w:r>
          </w:p>
        </w:tc>
      </w:tr>
      <w:tr>
        <w:trPr>
          <w:cantSplit/>
        </w:trPr>
        <w:tc>
          <w:tcPr>
            <w:tcW w:type="dxa" w:w="194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Activate break glass</w:t>
            </w:r>
          </w:p>
        </w:tc>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Activate access</w:t>
            </w:r>
          </w:p>
        </w:tc>
        <w:tc>
          <w:tcPr>
            <w:tcW w:type="dxa" w:w="259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Activate break glass access</w:t>
            </w:r>
          </w:p>
        </w:tc>
        <w:tc>
          <w:tcPr>
            <w:tcW w:type="dxa" w:w="53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Emergency access is time limited, audited and subject to the configured approval policy.</w:t>
            </w:r>
          </w:p>
        </w:tc>
      </w:tr>
      <w:tr>
        <w:trPr>
          <w:cantSplit/>
        </w:trPr>
        <w:tc>
          <w:tcPr>
            <w:tcW w:type="dxa" w:w="1944"/>
            <w:tcMar>
              <w:top w:w="90" w:type="dxa"/>
              <w:start w:w="90" w:type="dxa"/>
              <w:bottom w:w="90" w:type="dxa"/>
              <w:end w:w="90" w:type="dxa"/>
            </w:tcMar>
            <w:vAlign w:val="top"/>
          </w:tcPr>
          <w:p>
            <w:pPr>
              <w:spacing w:before="0" w:after="0" w:line="240" w:lineRule="auto"/>
            </w:pPr>
            <w:r>
              <w:rPr>
                <w:rFonts w:ascii="Calibri" w:hAnsi="Calibri"/>
                <w:b w:val="0"/>
                <w:color w:val="110A24"/>
                <w:sz w:val="15"/>
              </w:rPr>
              <w:t>Rotate signing key</w:t>
            </w:r>
          </w:p>
        </w:tc>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Plan rotation</w:t>
            </w:r>
          </w:p>
        </w:tc>
        <w:tc>
          <w:tcPr>
            <w:tcW w:type="dxa" w:w="2592"/>
            <w:tcMar>
              <w:top w:w="90" w:type="dxa"/>
              <w:start w:w="90" w:type="dxa"/>
              <w:bottom w:w="90" w:type="dxa"/>
              <w:end w:w="90" w:type="dxa"/>
            </w:tcMar>
            <w:vAlign w:val="top"/>
          </w:tcPr>
          <w:p>
            <w:pPr>
              <w:spacing w:before="0" w:after="0" w:line="240" w:lineRule="auto"/>
            </w:pPr>
            <w:r>
              <w:rPr>
                <w:rFonts w:ascii="Calibri" w:hAnsi="Calibri"/>
                <w:b w:val="0"/>
                <w:color w:val="110A24"/>
                <w:sz w:val="15"/>
              </w:rPr>
              <w:t>Plan signing key rotation</w:t>
            </w:r>
          </w:p>
        </w:tc>
        <w:tc>
          <w:tcPr>
            <w:tcW w:type="dxa" w:w="5328"/>
            <w:tcMar>
              <w:top w:w="90" w:type="dxa"/>
              <w:start w:w="90" w:type="dxa"/>
              <w:bottom w:w="90" w:type="dxa"/>
              <w:end w:w="90" w:type="dxa"/>
            </w:tcMar>
            <w:vAlign w:val="top"/>
          </w:tcPr>
          <w:p>
            <w:pPr>
              <w:spacing w:before="0" w:after="0" w:line="240" w:lineRule="auto"/>
            </w:pPr>
            <w:r>
              <w:rPr>
                <w:rFonts w:ascii="Calibri" w:hAnsi="Calibri"/>
                <w:b w:val="0"/>
                <w:color w:val="110A24"/>
                <w:sz w:val="15"/>
              </w:rPr>
              <w:t>Create the rotation plan, overlap window and verifier adoption steps before changing active signing metadata.</w:t>
            </w:r>
          </w:p>
        </w:tc>
      </w:tr>
    </w:tbl>
    <w:p>
      <w:pPr>
        <w:spacing w:after="20"/>
      </w:pPr>
    </w:p>
    <w:p>
      <w:pPr>
        <w:pStyle w:val="Heading2"/>
        <w:keepNext/>
      </w:pPr>
      <w:r>
        <w:rPr>
          <w:rFonts w:ascii="Calibri" w:hAnsi="Calibri"/>
          <w:b/>
          <w:color w:val="7040FF"/>
          <w:sz w:val="26"/>
        </w:rPr>
        <w:t>31.1 Empty state copy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72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Screen</w:t>
            </w:r>
          </w:p>
        </w:tc>
        <w:tc>
          <w:tcPr>
            <w:tcW w:type="dxa" w:w="237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Title</w:t>
            </w:r>
          </w:p>
        </w:tc>
        <w:tc>
          <w:tcPr>
            <w:tcW w:type="dxa" w:w="597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Body</w:t>
            </w:r>
          </w:p>
        </w:tc>
        <w:tc>
          <w:tcPr>
            <w:tcW w:type="dxa" w:w="187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Action</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5"/>
              </w:rPr>
              <w:t>Customers</w:t>
            </w:r>
          </w:p>
        </w:tc>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No customers yet</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Create the first customer to begin managing products, contracts, licenses and deployments.</w:t>
            </w:r>
          </w:p>
        </w:tc>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Create customer</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Licenses</w:t>
            </w:r>
          </w:p>
        </w:tc>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licenses found</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license matches this view. Change the filters or issue a license from an eligible customer entitlement.</w:t>
            </w:r>
          </w:p>
        </w:tc>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Clear filters</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5"/>
              </w:rPr>
              <w:t>Approvals</w:t>
            </w:r>
          </w:p>
        </w:tc>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Nothing waiting for you</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You have no pending approval requests in the current scope.</w:t>
            </w:r>
          </w:p>
        </w:tc>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View decided requests</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Deployments</w:t>
            </w:r>
          </w:p>
        </w:tc>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deployments registered</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Register an authorized customer environment after the installation plan is agreed.</w:t>
            </w:r>
          </w:p>
        </w:tc>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Register deployment</w:t>
            </w:r>
          </w:p>
        </w:tc>
      </w:tr>
      <w:tr>
        <w:trPr>
          <w:cantSplit/>
        </w:trPr>
        <w:tc>
          <w:tcPr>
            <w:tcW w:type="dxa" w:w="1728"/>
            <w:tcMar>
              <w:top w:w="90" w:type="dxa"/>
              <w:start w:w="90" w:type="dxa"/>
              <w:bottom w:w="90" w:type="dxa"/>
              <w:end w:w="90" w:type="dxa"/>
            </w:tcMar>
            <w:vAlign w:val="top"/>
          </w:tcPr>
          <w:p>
            <w:pPr>
              <w:spacing w:before="0" w:after="0" w:line="240" w:lineRule="auto"/>
            </w:pPr>
            <w:r>
              <w:rPr>
                <w:rFonts w:ascii="Calibri" w:hAnsi="Calibri"/>
                <w:b w:val="0"/>
                <w:color w:val="110A24"/>
                <w:sz w:val="15"/>
              </w:rPr>
              <w:t>Audit</w:t>
            </w:r>
          </w:p>
        </w:tc>
        <w:tc>
          <w:tcPr>
            <w:tcW w:type="dxa" w:w="2376"/>
            <w:tcMar>
              <w:top w:w="90" w:type="dxa"/>
              <w:start w:w="90" w:type="dxa"/>
              <w:bottom w:w="90" w:type="dxa"/>
              <w:end w:w="90" w:type="dxa"/>
            </w:tcMar>
            <w:vAlign w:val="top"/>
          </w:tcPr>
          <w:p>
            <w:pPr>
              <w:spacing w:before="0" w:after="0" w:line="240" w:lineRule="auto"/>
            </w:pPr>
            <w:r>
              <w:rPr>
                <w:rFonts w:ascii="Calibri" w:hAnsi="Calibri"/>
                <w:b w:val="0"/>
                <w:color w:val="110A24"/>
                <w:sz w:val="15"/>
              </w:rPr>
              <w:t>No audit events match</w:t>
            </w:r>
          </w:p>
        </w:tc>
        <w:tc>
          <w:tcPr>
            <w:tcW w:type="dxa" w:w="5976"/>
            <w:tcMar>
              <w:top w:w="90" w:type="dxa"/>
              <w:start w:w="90" w:type="dxa"/>
              <w:bottom w:w="90" w:type="dxa"/>
              <w:end w:w="90" w:type="dxa"/>
            </w:tcMar>
            <w:vAlign w:val="top"/>
          </w:tcPr>
          <w:p>
            <w:pPr>
              <w:spacing w:before="0" w:after="0" w:line="240" w:lineRule="auto"/>
            </w:pPr>
            <w:r>
              <w:rPr>
                <w:rFonts w:ascii="Calibri" w:hAnsi="Calibri"/>
                <w:b w:val="0"/>
                <w:color w:val="110A24"/>
                <w:sz w:val="15"/>
              </w:rPr>
              <w:t>Change the time range or filters. Audit visibility may also depend on your role.</w:t>
            </w:r>
          </w:p>
        </w:tc>
        <w:tc>
          <w:tcPr>
            <w:tcW w:type="dxa" w:w="1872"/>
            <w:tcMar>
              <w:top w:w="90" w:type="dxa"/>
              <w:start w:w="90" w:type="dxa"/>
              <w:bottom w:w="90" w:type="dxa"/>
              <w:end w:w="90" w:type="dxa"/>
            </w:tcMar>
            <w:vAlign w:val="top"/>
          </w:tcPr>
          <w:p>
            <w:pPr>
              <w:spacing w:before="0" w:after="0" w:line="240" w:lineRule="auto"/>
            </w:pPr>
            <w:r>
              <w:rPr>
                <w:rFonts w:ascii="Calibri" w:hAnsi="Calibri"/>
                <w:b w:val="0"/>
                <w:color w:val="110A24"/>
                <w:sz w:val="15"/>
              </w:rPr>
              <w:t>Clear filters</w:t>
            </w:r>
          </w:p>
        </w:tc>
      </w:tr>
      <w:tr>
        <w:trPr>
          <w:cantSplit/>
        </w:trPr>
        <w:tc>
          <w:tcPr>
            <w:tcW w:type="dxa" w:w="172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Reports</w:t>
            </w:r>
          </w:p>
        </w:tc>
        <w:tc>
          <w:tcPr>
            <w:tcW w:type="dxa" w:w="23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 saved reports</w:t>
            </w:r>
          </w:p>
        </w:tc>
        <w:tc>
          <w:tcPr>
            <w:tcW w:type="dxa" w:w="5976"/>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a report from an approved dataset or save the current filtered view.</w:t>
            </w:r>
          </w:p>
        </w:tc>
        <w:tc>
          <w:tcPr>
            <w:tcW w:type="dxa" w:w="187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Create report</w:t>
            </w:r>
          </w:p>
        </w:tc>
      </w:tr>
    </w:tbl>
    <w:p>
      <w:pPr>
        <w:spacing w:after="20"/>
      </w:pPr>
    </w:p>
    <w:p>
      <w:pPr>
        <w:pStyle w:val="Heading1"/>
        <w:keepNext/>
      </w:pPr>
      <w:r>
        <w:rPr>
          <w:rFonts w:ascii="Calibri" w:hAnsi="Calibri"/>
          <w:b/>
          <w:color w:val="110A24"/>
          <w:sz w:val="36"/>
        </w:rPr>
        <w:t>32. Interaction, accessibility and responsive behavior</w:t>
      </w:r>
    </w:p>
    <w:p>
      <w:pPr>
        <w:pStyle w:val="ListBullet"/>
        <w:spacing w:before="0" w:after="60" w:line="250" w:lineRule="auto"/>
      </w:pPr>
      <w:r>
        <w:rPr>
          <w:rFonts w:ascii="Calibri" w:hAnsi="Calibri"/>
          <w:color w:val="110A24"/>
          <w:sz w:val="18"/>
        </w:rPr>
        <w:t>WCAG 2.2 AA target for text, controls, navigation and keyboard behavior.</w:t>
      </w:r>
    </w:p>
    <w:p>
      <w:pPr>
        <w:pStyle w:val="ListBullet"/>
        <w:spacing w:before="0" w:after="60" w:line="250" w:lineRule="auto"/>
      </w:pPr>
      <w:r>
        <w:rPr>
          <w:rFonts w:ascii="Calibri" w:hAnsi="Calibri"/>
          <w:color w:val="110A24"/>
          <w:sz w:val="18"/>
        </w:rPr>
        <w:t>Visible focus uses a 2 px Accent Cyan outer ring with a clear outline. Critical actions never depend on hover.</w:t>
      </w:r>
    </w:p>
    <w:p>
      <w:pPr>
        <w:pStyle w:val="ListBullet"/>
        <w:spacing w:before="0" w:after="60" w:line="250" w:lineRule="auto"/>
      </w:pPr>
      <w:r>
        <w:rPr>
          <w:rFonts w:ascii="Calibri" w:hAnsi="Calibri"/>
          <w:color w:val="110A24"/>
          <w:sz w:val="18"/>
        </w:rPr>
        <w:t>All modal dialogs trap focus, have clear title and description, support Escape only when safe, and return focus to the invoking control.</w:t>
      </w:r>
    </w:p>
    <w:p>
      <w:pPr>
        <w:pStyle w:val="ListBullet"/>
        <w:spacing w:before="0" w:after="60" w:line="250" w:lineRule="auto"/>
      </w:pPr>
      <w:r>
        <w:rPr>
          <w:rFonts w:ascii="Calibri" w:hAnsi="Calibri"/>
          <w:color w:val="110A24"/>
          <w:sz w:val="18"/>
        </w:rPr>
        <w:t>Destructive actions require explicit target, reason and impact. Very high impact actions can require typed confirmation plus approval.</w:t>
      </w:r>
    </w:p>
    <w:p>
      <w:pPr>
        <w:pStyle w:val="ListBullet"/>
        <w:spacing w:before="0" w:after="60" w:line="250" w:lineRule="auto"/>
      </w:pPr>
      <w:r>
        <w:rPr>
          <w:rFonts w:ascii="Calibri" w:hAnsi="Calibri"/>
          <w:color w:val="110A24"/>
          <w:sz w:val="18"/>
        </w:rPr>
        <w:t>Tables support keyboard navigation, accessible headers, sorting labels and meaningful empty states.</w:t>
      </w:r>
    </w:p>
    <w:p>
      <w:pPr>
        <w:pStyle w:val="ListBullet"/>
        <w:spacing w:before="0" w:after="60" w:line="250" w:lineRule="auto"/>
      </w:pPr>
      <w:r>
        <w:rPr>
          <w:rFonts w:ascii="Calibri" w:hAnsi="Calibri"/>
          <w:color w:val="110A24"/>
          <w:sz w:val="18"/>
        </w:rPr>
        <w:t>Dates display timezone on detail screens. Relative time may accompany, never replace, absolute timestamp for audit sensitive records.</w:t>
      </w:r>
    </w:p>
    <w:p>
      <w:pPr>
        <w:pStyle w:val="ListBullet"/>
        <w:spacing w:before="0" w:after="60" w:line="250" w:lineRule="auto"/>
      </w:pPr>
      <w:r>
        <w:rPr>
          <w:rFonts w:ascii="Calibri" w:hAnsi="Calibri"/>
          <w:color w:val="110A24"/>
          <w:sz w:val="18"/>
        </w:rPr>
        <w:t>Mobile is emergency read access only for the initial version. Do not make mobile the primary mutation surface.</w:t>
      </w:r>
    </w:p>
    <w:p>
      <w:pPr>
        <w:pStyle w:val="ListBullet"/>
        <w:spacing w:before="0" w:after="60" w:line="250" w:lineRule="auto"/>
      </w:pPr>
      <w:r>
        <w:rPr>
          <w:rFonts w:ascii="Calibri" w:hAnsi="Calibri"/>
          <w:color w:val="110A24"/>
          <w:sz w:val="18"/>
        </w:rPr>
        <w:t>At 1024 px, navigation collapses and right rails move below the main content. Core tables retain horizontal scroll rather than hiding important columns.</w:t>
      </w:r>
    </w:p>
    <w:p>
      <w:pPr>
        <w:pStyle w:val="ListBullet"/>
        <w:spacing w:before="0" w:after="60" w:line="250" w:lineRule="auto"/>
      </w:pPr>
      <w:r>
        <w:rPr>
          <w:rFonts w:ascii="Calibri" w:hAnsi="Calibri"/>
          <w:color w:val="110A24"/>
          <w:sz w:val="18"/>
        </w:rPr>
        <w:t>Error states include what failed, whether data was changed, what the user can do next and a correlation ID where appropriate.</w:t>
      </w:r>
    </w:p>
    <w:p>
      <w:pPr>
        <w:pStyle w:val="Heading1"/>
        <w:keepNext/>
      </w:pPr>
      <w:r>
        <w:rPr>
          <w:rFonts w:ascii="Calibri" w:hAnsi="Calibri"/>
          <w:b/>
          <w:color w:val="110A24"/>
          <w:sz w:val="36"/>
        </w:rPr>
        <w:t>33. Backend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8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Component</w:t>
            </w:r>
          </w:p>
        </w:tc>
        <w:tc>
          <w:tcPr>
            <w:tcW w:type="dxa" w:w="324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Technology</w:t>
            </w:r>
          </w:p>
        </w:tc>
        <w:tc>
          <w:tcPr>
            <w:tcW w:type="dxa" w:w="655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Responsibility</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Admin Web</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Next.js, React, TypeScript</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Internal UI, permission aware rendering, no signing secrets.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Control API</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Python and FastAPI</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Authentication context, products, customers, contracts, entitlements, licenses, deployments, approvals, analytics contracts and audit.</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Domain services</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Python</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Business rules, validation, lifecycle state machines, customer health calculation, drift detection, renewal logic.</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 Issuer</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Python service with AWS KMS adapter</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Prepare canonical payload, request KMS signature, persist immutable revision metadata.</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Notification Worker</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Python worker</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Email and collaboration notifications, reminders, report delivery and retry.</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Integration Worker</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Python worker</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CRM, support, finance, AWS cost and webhook synchronization.</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Database</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PostgreSQL on RDS</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System of record with migrations, transaction boundaries and field protections.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Artifact store</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S3</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 artifacts, controlled exports, document references where approved, audit evidence exports.</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Async backbone</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EventBridge and SQS</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Decouple notifications, integrations and report generation from transactions.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Search</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PostgreSQL full text initially</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Global search and filters. Add dedicated search service only when measured scale requires it.</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Secrets</w:t>
            </w:r>
          </w:p>
        </w:tc>
        <w:tc>
          <w:tcPr>
            <w:tcW w:type="dxa" w:w="3240"/>
            <w:tcMar>
              <w:top w:w="90" w:type="dxa"/>
              <w:start w:w="90" w:type="dxa"/>
              <w:bottom w:w="90" w:type="dxa"/>
              <w:end w:w="90" w:type="dxa"/>
            </w:tcMar>
            <w:vAlign w:val="top"/>
          </w:tcPr>
          <w:p>
            <w:pPr>
              <w:spacing w:before="0" w:after="0" w:line="240" w:lineRule="auto"/>
            </w:pPr>
            <w:r>
              <w:rPr>
                <w:rFonts w:ascii="Calibri" w:hAnsi="Calibri"/>
                <w:b w:val="0"/>
                <w:color w:val="110A24"/>
                <w:sz w:val="15"/>
              </w:rPr>
              <w:t>AWS Secrets Manager</w:t>
            </w:r>
          </w:p>
        </w:tc>
        <w:tc>
          <w:tcPr>
            <w:tcW w:type="dxa" w:w="6552"/>
            <w:tcMar>
              <w:top w:w="90" w:type="dxa"/>
              <w:start w:w="90" w:type="dxa"/>
              <w:bottom w:w="90" w:type="dxa"/>
              <w:end w:w="90" w:type="dxa"/>
            </w:tcMar>
            <w:vAlign w:val="top"/>
          </w:tcPr>
          <w:p>
            <w:pPr>
              <w:spacing w:before="0" w:after="0" w:line="240" w:lineRule="auto"/>
            </w:pPr>
            <w:r>
              <w:rPr>
                <w:rFonts w:ascii="Calibri" w:hAnsi="Calibri"/>
                <w:b w:val="0"/>
                <w:color w:val="110A24"/>
                <w:sz w:val="15"/>
              </w:rPr>
              <w:t>Application secrets and integration credentials references.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Cryptography</w:t>
            </w:r>
          </w:p>
        </w:tc>
        <w:tc>
          <w:tcPr>
            <w:tcW w:type="dxa" w:w="32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AWS KMS</w:t>
            </w:r>
          </w:p>
        </w:tc>
        <w:tc>
          <w:tcPr>
            <w:tcW w:type="dxa" w:w="655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Non exportable asymmetric license signing key and encryption keys.</w:t>
            </w:r>
          </w:p>
        </w:tc>
      </w:tr>
    </w:tbl>
    <w:p>
      <w:pPr>
        <w:spacing w:after="20"/>
      </w:pPr>
    </w:p>
    <w:p>
      <w:pPr>
        <w:pStyle w:val="Heading2"/>
        <w:keepNext/>
      </w:pPr>
      <w:r>
        <w:rPr>
          <w:rFonts w:ascii="Calibri" w:hAnsi="Calibri"/>
          <w:b/>
          <w:color w:val="7040FF"/>
          <w:sz w:val="26"/>
        </w:rPr>
        <w:t>33.1 Transaction and event rule</w:t>
      </w:r>
    </w:p>
    <w:p>
      <w:pPr>
        <w:pStyle w:val="ListBullet"/>
        <w:spacing w:before="0" w:after="60" w:line="250" w:lineRule="auto"/>
      </w:pPr>
      <w:r>
        <w:rPr>
          <w:rFonts w:ascii="Calibri" w:hAnsi="Calibri"/>
          <w:color w:val="110A24"/>
          <w:sz w:val="18"/>
        </w:rPr>
        <w:t>Core mutations commit to PostgreSQL first.</w:t>
      </w:r>
    </w:p>
    <w:p>
      <w:pPr>
        <w:pStyle w:val="ListBullet"/>
        <w:spacing w:before="0" w:after="60" w:line="250" w:lineRule="auto"/>
      </w:pPr>
      <w:r>
        <w:rPr>
          <w:rFonts w:ascii="Calibri" w:hAnsi="Calibri"/>
          <w:color w:val="110A24"/>
          <w:sz w:val="18"/>
        </w:rPr>
        <w:t>Use an outbox pattern for events that must be delivered after a successful transaction.</w:t>
      </w:r>
    </w:p>
    <w:p>
      <w:pPr>
        <w:pStyle w:val="ListBullet"/>
        <w:spacing w:before="0" w:after="60" w:line="250" w:lineRule="auto"/>
      </w:pPr>
      <w:r>
        <w:rPr>
          <w:rFonts w:ascii="Calibri" w:hAnsi="Calibri"/>
          <w:color w:val="110A24"/>
          <w:sz w:val="18"/>
        </w:rPr>
        <w:t>EventBridge routes business events to SQS backed workers for notifications, integrations and asynchronous analytics jobs.</w:t>
      </w:r>
    </w:p>
    <w:p>
      <w:pPr>
        <w:pStyle w:val="ListBullet"/>
        <w:spacing w:before="0" w:after="60" w:line="250" w:lineRule="auto"/>
      </w:pPr>
      <w:r>
        <w:rPr>
          <w:rFonts w:ascii="Calibri" w:hAnsi="Calibri"/>
          <w:color w:val="110A24"/>
          <w:sz w:val="18"/>
        </w:rPr>
        <w:t>License signing is a separate governed domain operation. Browser code never calls KMS directly.</w:t>
      </w:r>
    </w:p>
    <w:p>
      <w:pPr>
        <w:pStyle w:val="ListBullet"/>
        <w:spacing w:before="0" w:after="60" w:line="250" w:lineRule="auto"/>
      </w:pPr>
      <w:r>
        <w:rPr>
          <w:rFonts w:ascii="Calibri" w:hAnsi="Calibri"/>
          <w:color w:val="110A24"/>
          <w:sz w:val="18"/>
        </w:rPr>
        <w:t>Long running report and export jobs run asynchronously and expose job status to the UI.</w:t>
      </w:r>
    </w:p>
    <w:p>
      <w:pPr>
        <w:pStyle w:val="Heading1"/>
        <w:keepNext/>
      </w:pPr>
      <w:r>
        <w:rPr>
          <w:rFonts w:ascii="Calibri" w:hAnsi="Calibri"/>
          <w:b/>
          <w:color w:val="110A24"/>
          <w:sz w:val="36"/>
        </w:rPr>
        <w:t>34. AWS platform architecture</w:t>
      </w:r>
    </w:p>
    <w:p>
      <w:pPr>
        <w:spacing w:before="0" w:after="100" w:line="259" w:lineRule="auto"/>
      </w:pPr>
      <w:r>
        <w:rPr>
          <w:rFonts w:ascii="Calibri" w:hAnsi="Calibri"/>
          <w:b w:val="0"/>
          <w:i w:val="0"/>
          <w:color w:val="110A24"/>
          <w:sz w:val="19"/>
        </w:rPr>
        <w:t>The Apporine control plane is Apporine operated and AWS specific. It does not need Kubernetes in the initial architecture. The production decision is OCI containers on ECS Fargate because it reduces platform overhead while retaining immutable container deployment. EKS requires a separate architecture decision if future scale or platform standardization justifies it.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4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AWS capability</w:t>
            </w:r>
          </w:p>
        </w:tc>
        <w:tc>
          <w:tcPr>
            <w:tcW w:type="dxa" w:w="432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Use</w:t>
            </w:r>
          </w:p>
        </w:tc>
        <w:tc>
          <w:tcPr>
            <w:tcW w:type="dxa" w:w="511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Security baseline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AWS Organizations</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Separate management, security, non production and production accounts.</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Central governance, least privilege and billing separation.</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Route 53</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DNS for admin and licensing endpoints.</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Restricted change permissions.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AWS Verified Access or approved corporate access path</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Identity aware access to internal application.</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Corporate identity, device and access policy where adopted.</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AWS WAF</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Protect internet reachable entry points if used.</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Managed rules, rate limits, logging.</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Application Load Balancer</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TLS routing to Fargate services.</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HTTPS only, ACM certificates, restricted security groups.</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ECS Fargate</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Run Admin Web, Control API, License Issuer and workers as separate tasks.</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Private subnets where possible, task IAM roles, non root containers, immutable digests.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ECR</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Private OCI image registry.</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Immutable tags or digest promotion, scanning and restricted push.</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RDS PostgreSQL Multi AZ</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System of record.</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Encryption, private networking, backups, PITR, restricted admin.</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S3</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Artifacts, controlled exports and evidence.</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Encryption, versioning, Object Lock for protected evidence where required.</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KMS</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License signing and encryption.</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Asymmetric non exportable key, least privilege Sign permission, rotation governance.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Secrets Manager</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Application and integration secrets.</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No secrets in Git or task definitions, rotation where supported.</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EventBridge and SQS</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Async events and durable work queues.</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Least privilege publishers and consumers, dead letter queues.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SES and approved channels</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Operational notifications.</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Verified domains, templates, minimal sensitive content.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CloudWatch and CloudTrail</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Runtime monitoring and AWS activity evidence.</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Central log retention, alarms, security review.</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5"/>
              </w:rPr>
              <w:t>GuardDuty and Security Hub</w:t>
            </w:r>
          </w:p>
        </w:tc>
        <w:tc>
          <w:tcPr>
            <w:tcW w:type="dxa" w:w="4320"/>
            <w:tcMar>
              <w:top w:w="90" w:type="dxa"/>
              <w:start w:w="90" w:type="dxa"/>
              <w:bottom w:w="90" w:type="dxa"/>
              <w:end w:w="90" w:type="dxa"/>
            </w:tcMar>
            <w:vAlign w:val="top"/>
          </w:tcPr>
          <w:p>
            <w:pPr>
              <w:spacing w:before="0" w:after="0" w:line="240" w:lineRule="auto"/>
            </w:pPr>
            <w:r>
              <w:rPr>
                <w:rFonts w:ascii="Calibri" w:hAnsi="Calibri"/>
                <w:b w:val="0"/>
                <w:color w:val="110A24"/>
                <w:sz w:val="15"/>
              </w:rPr>
              <w:t>AWS security findings.</w:t>
            </w:r>
          </w:p>
        </w:tc>
        <w:tc>
          <w:tcPr>
            <w:tcW w:type="dxa" w:w="5112"/>
            <w:tcMar>
              <w:top w:w="90" w:type="dxa"/>
              <w:start w:w="90" w:type="dxa"/>
              <w:bottom w:w="90" w:type="dxa"/>
              <w:end w:w="90" w:type="dxa"/>
            </w:tcMar>
            <w:vAlign w:val="top"/>
          </w:tcPr>
          <w:p>
            <w:pPr>
              <w:spacing w:before="0" w:after="0" w:line="240" w:lineRule="auto"/>
            </w:pPr>
            <w:r>
              <w:rPr>
                <w:rFonts w:ascii="Calibri" w:hAnsi="Calibri"/>
                <w:b w:val="0"/>
                <w:color w:val="110A24"/>
                <w:sz w:val="15"/>
              </w:rPr>
              <w:t>Centralized security account integration where adopted.</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AWS Backup</w:t>
            </w:r>
          </w:p>
        </w:tc>
        <w:tc>
          <w:tcPr>
            <w:tcW w:type="dxa" w:w="432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Backup policy and retention.</w:t>
            </w:r>
          </w:p>
        </w:tc>
        <w:tc>
          <w:tcPr>
            <w:tcW w:type="dxa" w:w="5112"/>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Protected backup vault and restore testing.</w:t>
            </w:r>
          </w:p>
        </w:tc>
      </w:tr>
    </w:tbl>
    <w:p>
      <w:pPr>
        <w:spacing w:after="20"/>
      </w:pPr>
    </w:p>
    <w:p>
      <w:pPr>
        <w:pStyle w:val="Heading2"/>
        <w:keepNext/>
      </w:pPr>
      <w:r>
        <w:rPr>
          <w:rFonts w:ascii="Calibri" w:hAnsi="Calibri"/>
          <w:b/>
          <w:color w:val="7040FF"/>
          <w:sz w:val="26"/>
        </w:rPr>
        <w:t>34.1 AWS account model</w:t>
      </w:r>
    </w:p>
    <w:tbl>
      <w:tblPr>
        <w:tblW w:type="auto" w:w="0"/>
        <w:jc w:val="center"/>
        <w:tblLook w:firstColumn="1" w:firstRow="1" w:lastColumn="0" w:lastRow="0" w:noHBand="0" w:noVBand="1" w:val="04A0"/>
      </w:tblPr>
      <w:tblGrid>
        <w:gridCol w:w="10368"/>
      </w:tblGrid>
      <w:tr>
        <w:tc>
          <w:tcPr>
            <w:tcW w:type="dxa" w:w="10368"/>
            <w:shd w:fill="F3F1F6"/>
            <w:tcMar>
              <w:top w:w="120" w:type="dxa"/>
              <w:start w:w="140" w:type="dxa"/>
              <w:bottom w:w="120" w:type="dxa"/>
              <w:end w:w="140" w:type="dxa"/>
            </w:tcMar>
          </w:tcPr>
          <w:p>
            <w:pPr>
              <w:spacing w:before="0" w:after="0" w:line="240" w:lineRule="auto"/>
            </w:pPr>
            <w:r>
              <w:rPr>
                <w:rFonts w:ascii="Consolas" w:hAnsi="Consolas"/>
                <w:color w:val="2D263C"/>
                <w:sz w:val="17"/>
              </w:rPr>
              <w:t>Apporine AWS Organization</w:t>
              <w:br/>
              <w:t xml:space="preserve">    Management account</w:t>
              <w:br/>
              <w:t xml:space="preserve">    Security and log archive account</w:t>
              <w:br/>
              <w:t xml:space="preserve">    Shared services account</w:t>
              <w:br/>
              <w:t xml:space="preserve">    Control plane non production account</w:t>
              <w:br/>
              <w:t xml:space="preserve">    Control plane production account</w:t>
              <w:br/>
              <w:t xml:space="preserve">    Optional disaster recovery account or region</w:t>
            </w:r>
          </w:p>
        </w:tc>
        <w:trPr>
          <w:tblHeader/>
        </w:trPr>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5F3F7"/>
            <w:tcMar>
              <w:top w:w="120" w:type="dxa"/>
              <w:start w:w="160" w:type="dxa"/>
              <w:bottom w:w="120" w:type="dxa"/>
              <w:end w:w="160" w:type="dxa"/>
            </w:tcMar>
            <w:tcBorders>
              <w:left w:val="single" w:sz="18" w:color="D8D4E2"/>
            </w:tcBorders>
          </w:tcPr>
          <w:p>
            <w:pPr>
              <w:spacing w:before="0" w:after="40" w:line="240" w:lineRule="auto"/>
            </w:pPr>
            <w:r>
              <w:rPr>
                <w:rFonts w:ascii="Calibri" w:hAnsi="Calibri"/>
                <w:b/>
                <w:color w:val="110A24"/>
                <w:sz w:val="20"/>
              </w:rPr>
              <w:t>Kubernetes decision</w:t>
            </w:r>
          </w:p>
          <w:p>
            <w:pPr>
              <w:spacing w:before="0" w:after="0" w:line="252" w:lineRule="auto"/>
            </w:pPr>
            <w:r>
              <w:rPr>
                <w:rFonts w:ascii="Calibri" w:hAnsi="Calibri"/>
                <w:color w:val="110A24"/>
                <w:sz w:val="18"/>
              </w:rPr>
              <w:t>Do not add EKS only to make the control plane look enterprise. ECS Fargate is the default. EKS becomes valid when an ADR demonstrates a real need such as shared platform standardization, advanced scheduling or operational scale.</w:t>
            </w:r>
          </w:p>
        </w:tc>
      </w:tr>
    </w:tbl>
    <w:p>
      <w:pPr>
        <w:spacing w:after="20"/>
      </w:pPr>
    </w:p>
    <w:p>
      <w:pPr>
        <w:pStyle w:val="Heading1"/>
        <w:keepNext/>
      </w:pPr>
      <w:r>
        <w:rPr>
          <w:rFonts w:ascii="Calibri" w:hAnsi="Calibri"/>
          <w:b/>
          <w:color w:val="110A24"/>
          <w:sz w:val="36"/>
        </w:rPr>
        <w:t>35. CI CD and release pipeline</w:t>
      </w:r>
    </w:p>
    <w:tbl>
      <w:tblPr>
        <w:tblW w:type="auto" w:w="0"/>
        <w:jc w:val="center"/>
        <w:tblLook w:firstColumn="1" w:firstRow="1" w:lastColumn="0" w:lastRow="0" w:noHBand="0" w:noVBand="1" w:val="04A0"/>
      </w:tblPr>
      <w:tblGrid>
        <w:gridCol w:w="10368"/>
      </w:tblGrid>
      <w:tr>
        <w:tc>
          <w:tcPr>
            <w:tcW w:type="dxa" w:w="10368"/>
            <w:shd w:fill="F3F1F6"/>
            <w:tcMar>
              <w:top w:w="120" w:type="dxa"/>
              <w:start w:w="140" w:type="dxa"/>
              <w:bottom w:w="120" w:type="dxa"/>
              <w:end w:w="140" w:type="dxa"/>
            </w:tcMar>
          </w:tcPr>
          <w:p>
            <w:pPr>
              <w:spacing w:before="0" w:after="0" w:line="240" w:lineRule="auto"/>
            </w:pPr>
            <w:r>
              <w:rPr>
                <w:rFonts w:ascii="Consolas" w:hAnsi="Consolas"/>
                <w:color w:val="2D263C"/>
                <w:sz w:val="17"/>
              </w:rPr>
              <w:t>Developer change</w:t>
              <w:br/>
              <w:t xml:space="preserve">    Pull request</w:t>
              <w:br/>
              <w:t xml:space="preserve">    Lint, type check, unit tests</w:t>
              <w:br/>
              <w:t xml:space="preserve">    Security and secret scan</w:t>
              <w:br/>
              <w:t xml:space="preserve">    Build OCI image</w:t>
              <w:br/>
              <w:t xml:space="preserve">    Generate SBOM and provenance</w:t>
              <w:br/>
              <w:t xml:space="preserve">    Sign artifact</w:t>
              <w:br/>
              <w:t xml:space="preserve">    Push immutable image to ECR</w:t>
              <w:br/>
              <w:t xml:space="preserve">    Deploy to staging</w:t>
              <w:br/>
              <w:t xml:space="preserve">    Database migration compatibility check</w:t>
              <w:br/>
              <w:t xml:space="preserve">    Integration and browser tests</w:t>
              <w:br/>
              <w:t xml:space="preserve">    Manual production approval</w:t>
              <w:br/>
              <w:t xml:space="preserve">    Deploy production</w:t>
              <w:br/>
              <w:t xml:space="preserve">    Health verification</w:t>
              <w:br/>
              <w:t xml:space="preserve">    Audit release</w:t>
              <w:br/>
              <w:t xml:space="preserve">    Rollback if acceptance fails</w:t>
            </w:r>
          </w:p>
        </w:tc>
        <w:trPr>
          <w:tblHeader/>
        </w:trPr>
      </w:tr>
    </w:tbl>
    <w:p>
      <w:pPr>
        <w:spacing w:after="20"/>
      </w:pPr>
    </w:p>
    <w:p>
      <w:pPr>
        <w:pStyle w:val="ListBullet"/>
        <w:spacing w:before="0" w:after="60" w:line="250" w:lineRule="auto"/>
      </w:pPr>
      <w:r>
        <w:rPr>
          <w:rFonts w:ascii="Calibri" w:hAnsi="Calibri"/>
          <w:color w:val="110A24"/>
          <w:sz w:val="18"/>
        </w:rPr>
        <w:t>GitHub Actions authenticates to AWS using OIDC, not long lived cloud keys.</w:t>
      </w:r>
    </w:p>
    <w:p>
      <w:pPr>
        <w:pStyle w:val="ListBullet"/>
        <w:spacing w:before="0" w:after="60" w:line="250" w:lineRule="auto"/>
      </w:pPr>
      <w:r>
        <w:rPr>
          <w:rFonts w:ascii="Calibri" w:hAnsi="Calibri"/>
          <w:color w:val="110A24"/>
          <w:sz w:val="18"/>
        </w:rPr>
        <w:t>Production deploy uses immutable image digest and reviewed environment configuration.</w:t>
      </w:r>
    </w:p>
    <w:p>
      <w:pPr>
        <w:pStyle w:val="ListBullet"/>
        <w:spacing w:before="0" w:after="60" w:line="250" w:lineRule="auto"/>
      </w:pPr>
      <w:r>
        <w:rPr>
          <w:rFonts w:ascii="Calibri" w:hAnsi="Calibri"/>
          <w:color w:val="110A24"/>
          <w:sz w:val="18"/>
        </w:rPr>
        <w:t>Database migrations run as an explicit deployment step with rollback or compatibility plan.</w:t>
      </w:r>
    </w:p>
    <w:p>
      <w:pPr>
        <w:pStyle w:val="ListBullet"/>
        <w:spacing w:before="0" w:after="60" w:line="250" w:lineRule="auto"/>
      </w:pPr>
      <w:r>
        <w:rPr>
          <w:rFonts w:ascii="Calibri" w:hAnsi="Calibri"/>
          <w:color w:val="110A24"/>
          <w:sz w:val="18"/>
        </w:rPr>
        <w:t>License signing keys are not available to generic CI jobs.</w:t>
      </w:r>
    </w:p>
    <w:p>
      <w:pPr>
        <w:pStyle w:val="ListBullet"/>
        <w:spacing w:before="0" w:after="60" w:line="250" w:lineRule="auto"/>
      </w:pPr>
      <w:r>
        <w:rPr>
          <w:rFonts w:ascii="Calibri" w:hAnsi="Calibri"/>
          <w:color w:val="110A24"/>
          <w:sz w:val="18"/>
        </w:rPr>
        <w:t>Production promotion is separate from build so the same tested artifact moves between environments.</w:t>
      </w:r>
    </w:p>
    <w:p>
      <w:pPr>
        <w:pStyle w:val="ListBullet"/>
        <w:spacing w:before="0" w:after="60" w:line="250" w:lineRule="auto"/>
      </w:pPr>
      <w:r>
        <w:rPr>
          <w:rFonts w:ascii="Calibri" w:hAnsi="Calibri"/>
          <w:color w:val="110A24"/>
          <w:sz w:val="18"/>
        </w:rPr>
        <w:t>Release record in the control plane links deployment version to source commit, build evidence and artifact digest.</w:t>
      </w:r>
    </w:p>
    <w:p>
      <w:pPr>
        <w:pStyle w:val="Heading1"/>
        <w:keepNext/>
      </w:pPr>
      <w:r>
        <w:rPr>
          <w:rFonts w:ascii="Calibri" w:hAnsi="Calibri"/>
          <w:b/>
          <w:color w:val="110A24"/>
          <w:sz w:val="36"/>
        </w:rPr>
        <w:t>36. Data model</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4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Entity</w:t>
            </w:r>
          </w:p>
        </w:tc>
        <w:tc>
          <w:tcPr>
            <w:tcW w:type="dxa" w:w="453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Purpose</w:t>
            </w:r>
          </w:p>
        </w:tc>
        <w:tc>
          <w:tcPr>
            <w:tcW w:type="dxa" w:w="489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Important relationships</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product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Apporine product definition.</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entitlement_definition, release, customer_product.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External customer account.</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parent customer, contact, contract, customer_product, deployment, health_snapshot.</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contact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Customer person and role.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 contact_role, communication preference.</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account_team_member</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Apporine owner relationship.</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 staff_user, responsibility.</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Customer ownership of a product.</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contract, entitlement, license.</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contract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Commercial operating agreement metadata.</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contract_line, renewal, document_reference.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contract_line</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Commercial scope or value line.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contract, product, entitlement source.</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subscription</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Recurring commercial state where needed.</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external billing reference.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entitlement_definition</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Product entitlement schema.</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product, customer_entitlement.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customer_entitlement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Effective customer right.</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source contract, license revision.</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license</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Logical commercial license.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license_revision, deployment.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license_revision</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Immutable signed license revision.</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license, signing_key_metadata, artifact, approval.</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deployment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Authorized installation.</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license, release, environment.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deployment_checkin</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Approved health metadata snapshot.</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deployment.</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release</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Product release and support state.</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product, artifact, compatibility, deployment.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release_artifact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OCI, package, SBOM and signature reference.</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release.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support_case_reference</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Support metadata and source link.</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external support system.</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onboarding_plan</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 lifecycle plan.</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task, milestone.</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success_plan</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Value objectives and milestones.</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task, review.</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health_snapshot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Explainable customer health at a point in time.</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health_factor.</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risk</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Commercial, technical, support or security risk.</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owner, source object.</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task</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Operational work item.</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 product, owner, source object.</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approval_request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Governed action request.</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target object, requester, approver, decision.</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audit_event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Append only administrative evidence.</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actor, object, customer, product, correlation.</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cost_snapshot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Allocated Apporine cost data.</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product, customer where available.</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usage_snapshot</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Approved usage and adoption metadata.</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customer_product, metric definition.</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integration_connection</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External system connection metadata.</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owner, product or organization scope.</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staff_user</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Apporine operator identity metadata.</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role_assignment, access review, audit.</w:t>
            </w:r>
          </w:p>
        </w:tc>
      </w:tr>
      <w:tr>
        <w:trPr>
          <w:cantSplit/>
        </w:trPr>
        <w:tc>
          <w:tcPr>
            <w:tcW w:type="dxa" w:w="2448"/>
            <w:tcMar>
              <w:top w:w="90" w:type="dxa"/>
              <w:start w:w="90" w:type="dxa"/>
              <w:bottom w:w="90" w:type="dxa"/>
              <w:end w:w="90" w:type="dxa"/>
            </w:tcMar>
            <w:vAlign w:val="top"/>
          </w:tcPr>
          <w:p>
            <w:pPr>
              <w:spacing w:before="0" w:after="0" w:line="240" w:lineRule="auto"/>
            </w:pPr>
            <w:r>
              <w:rPr>
                <w:rFonts w:ascii="Calibri" w:hAnsi="Calibri"/>
                <w:b w:val="0"/>
                <w:color w:val="110A24"/>
                <w:sz w:val="14"/>
              </w:rPr>
              <w:t>role_assignment</w:t>
            </w:r>
          </w:p>
        </w:tc>
        <w:tc>
          <w:tcPr>
            <w:tcW w:type="dxa" w:w="4536"/>
            <w:tcMar>
              <w:top w:w="90" w:type="dxa"/>
              <w:start w:w="90" w:type="dxa"/>
              <w:bottom w:w="90" w:type="dxa"/>
              <w:end w:w="90" w:type="dxa"/>
            </w:tcMar>
            <w:vAlign w:val="top"/>
          </w:tcPr>
          <w:p>
            <w:pPr>
              <w:spacing w:before="0" w:after="0" w:line="240" w:lineRule="auto"/>
            </w:pPr>
            <w:r>
              <w:rPr>
                <w:rFonts w:ascii="Calibri" w:hAnsi="Calibri"/>
                <w:b w:val="0"/>
                <w:color w:val="110A24"/>
                <w:sz w:val="14"/>
              </w:rPr>
              <w:t>Scoped staff permission.</w:t>
            </w:r>
          </w:p>
        </w:tc>
        <w:tc>
          <w:tcPr>
            <w:tcW w:type="dxa" w:w="4896"/>
            <w:tcMar>
              <w:top w:w="90" w:type="dxa"/>
              <w:start w:w="90" w:type="dxa"/>
              <w:bottom w:w="90" w:type="dxa"/>
              <w:end w:w="90" w:type="dxa"/>
            </w:tcMar>
            <w:vAlign w:val="top"/>
          </w:tcPr>
          <w:p>
            <w:pPr>
              <w:spacing w:before="0" w:after="0" w:line="240" w:lineRule="auto"/>
            </w:pPr>
            <w:r>
              <w:rPr>
                <w:rFonts w:ascii="Calibri" w:hAnsi="Calibri"/>
                <w:b w:val="0"/>
                <w:color w:val="110A24"/>
                <w:sz w:val="14"/>
              </w:rPr>
              <w:t>staff_user, role, product scope, customer scope, expiry.</w:t>
            </w:r>
          </w:p>
        </w:tc>
      </w:tr>
      <w:tr>
        <w:trPr>
          <w:cantSplit/>
        </w:trPr>
        <w:tc>
          <w:tcPr>
            <w:tcW w:type="dxa" w:w="2448"/>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document_reference</w:t>
            </w:r>
          </w:p>
        </w:tc>
        <w:tc>
          <w:tcPr>
            <w:tcW w:type="dxa" w:w="453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Reference or controlled attachment.</w:t>
            </w:r>
          </w:p>
        </w:tc>
        <w:tc>
          <w:tcPr>
            <w:tcW w:type="dxa" w:w="4896"/>
            <w:shd w:fill="FBFAFC"/>
            <w:tcMar>
              <w:top w:w="90" w:type="dxa"/>
              <w:start w:w="90" w:type="dxa"/>
              <w:bottom w:w="90" w:type="dxa"/>
              <w:end w:w="90" w:type="dxa"/>
            </w:tcMar>
            <w:vAlign w:val="top"/>
          </w:tcPr>
          <w:p>
            <w:pPr>
              <w:spacing w:before="0" w:after="0" w:line="240" w:lineRule="auto"/>
            </w:pPr>
            <w:r>
              <w:rPr>
                <w:rFonts w:ascii="Calibri" w:hAnsi="Calibri"/>
                <w:b w:val="0"/>
                <w:color w:val="110A24"/>
                <w:sz w:val="14"/>
              </w:rPr>
              <w:t>contract, customer, support or review object.</w:t>
            </w:r>
          </w:p>
        </w:tc>
      </w:tr>
    </w:tbl>
    <w:p>
      <w:pPr>
        <w:spacing w:after="20"/>
      </w:pPr>
    </w:p>
    <w:p>
      <w:pPr>
        <w:pStyle w:val="Heading2"/>
        <w:keepNext/>
      </w:pPr>
      <w:r>
        <w:rPr>
          <w:rFonts w:ascii="Calibri" w:hAnsi="Calibri"/>
          <w:b/>
          <w:color w:val="7040FF"/>
          <w:sz w:val="26"/>
        </w:rPr>
        <w:t>36.1 Data rules</w:t>
      </w:r>
    </w:p>
    <w:p>
      <w:pPr>
        <w:pStyle w:val="ListBullet"/>
        <w:spacing w:before="0" w:after="60" w:line="250" w:lineRule="auto"/>
      </w:pPr>
      <w:r>
        <w:rPr>
          <w:rFonts w:ascii="Calibri" w:hAnsi="Calibri"/>
          <w:color w:val="110A24"/>
          <w:sz w:val="18"/>
        </w:rPr>
        <w:t>Use UUID or stable opaque identifiers, not customer names as keys.</w:t>
      </w:r>
    </w:p>
    <w:p>
      <w:pPr>
        <w:pStyle w:val="ListBullet"/>
        <w:spacing w:before="0" w:after="60" w:line="250" w:lineRule="auto"/>
      </w:pPr>
      <w:r>
        <w:rPr>
          <w:rFonts w:ascii="Calibri" w:hAnsi="Calibri"/>
          <w:color w:val="110A24"/>
          <w:sz w:val="18"/>
        </w:rPr>
        <w:t>Historical license revisions, audit events and approval decisions are immutable.</w:t>
      </w:r>
    </w:p>
    <w:p>
      <w:pPr>
        <w:pStyle w:val="ListBullet"/>
        <w:spacing w:before="0" w:after="60" w:line="250" w:lineRule="auto"/>
      </w:pPr>
      <w:r>
        <w:rPr>
          <w:rFonts w:ascii="Calibri" w:hAnsi="Calibri"/>
          <w:color w:val="110A24"/>
          <w:sz w:val="18"/>
        </w:rPr>
        <w:t>Soft deactivate referenced business objects rather than destructive cascade delete.</w:t>
      </w:r>
    </w:p>
    <w:p>
      <w:pPr>
        <w:pStyle w:val="ListBullet"/>
        <w:spacing w:before="0" w:after="60" w:line="250" w:lineRule="auto"/>
      </w:pPr>
      <w:r>
        <w:rPr>
          <w:rFonts w:ascii="Calibri" w:hAnsi="Calibri"/>
          <w:color w:val="110A24"/>
          <w:sz w:val="18"/>
        </w:rPr>
        <w:t>Sensitive fields have explicit classification and field permission.</w:t>
      </w:r>
    </w:p>
    <w:p>
      <w:pPr>
        <w:pStyle w:val="ListBullet"/>
        <w:spacing w:before="0" w:after="60" w:line="250" w:lineRule="auto"/>
      </w:pPr>
      <w:r>
        <w:rPr>
          <w:rFonts w:ascii="Calibri" w:hAnsi="Calibri"/>
          <w:color w:val="110A24"/>
          <w:sz w:val="18"/>
        </w:rPr>
        <w:t>External synchronization stores source system ID and sync timestamp.</w:t>
      </w:r>
    </w:p>
    <w:p>
      <w:pPr>
        <w:pStyle w:val="ListBullet"/>
        <w:spacing w:before="0" w:after="60" w:line="250" w:lineRule="auto"/>
      </w:pPr>
      <w:r>
        <w:rPr>
          <w:rFonts w:ascii="Calibri" w:hAnsi="Calibri"/>
          <w:color w:val="110A24"/>
          <w:sz w:val="18"/>
        </w:rPr>
        <w:t>Every derived score stores calculation version, factor inputs and timestamp.</w:t>
      </w:r>
    </w:p>
    <w:p>
      <w:pPr>
        <w:pStyle w:val="Heading1"/>
        <w:keepNext/>
      </w:pPr>
      <w:r>
        <w:rPr>
          <w:rFonts w:ascii="Calibri" w:hAnsi="Calibri"/>
          <w:b/>
          <w:color w:val="110A24"/>
          <w:sz w:val="36"/>
        </w:rPr>
        <w:t>37. Security, privacy and compliance</w:t>
      </w:r>
    </w:p>
    <w:p>
      <w:pPr>
        <w:pStyle w:val="ListBullet"/>
        <w:spacing w:before="0" w:after="60" w:line="250" w:lineRule="auto"/>
      </w:pPr>
      <w:r>
        <w:rPr>
          <w:rFonts w:ascii="Calibri" w:hAnsi="Calibri"/>
          <w:color w:val="110A24"/>
          <w:sz w:val="18"/>
        </w:rPr>
        <w:t>Corporate SSO using OIDC or SAML, MFA mandatory for production operators.</w:t>
      </w:r>
    </w:p>
    <w:p>
      <w:pPr>
        <w:pStyle w:val="ListBullet"/>
        <w:spacing w:before="0" w:after="60" w:line="250" w:lineRule="auto"/>
      </w:pPr>
      <w:r>
        <w:rPr>
          <w:rFonts w:ascii="Calibri" w:hAnsi="Calibri"/>
          <w:color w:val="110A24"/>
          <w:sz w:val="18"/>
        </w:rPr>
        <w:t>Least privilege RBAC with product and customer scopes, time limited elevation and periodic access review.</w:t>
      </w:r>
    </w:p>
    <w:p>
      <w:pPr>
        <w:pStyle w:val="ListBullet"/>
        <w:spacing w:before="0" w:after="60" w:line="250" w:lineRule="auto"/>
      </w:pPr>
      <w:r>
        <w:rPr>
          <w:rFonts w:ascii="Calibri" w:hAnsi="Calibri"/>
          <w:color w:val="110A24"/>
          <w:sz w:val="18"/>
        </w:rPr>
        <w:t>Four eyes approval for configured high impact actions.</w:t>
      </w:r>
    </w:p>
    <w:p>
      <w:pPr>
        <w:pStyle w:val="ListBullet"/>
        <w:spacing w:before="0" w:after="60" w:line="250" w:lineRule="auto"/>
      </w:pPr>
      <w:r>
        <w:rPr>
          <w:rFonts w:ascii="Calibri" w:hAnsi="Calibri"/>
          <w:color w:val="110A24"/>
          <w:sz w:val="18"/>
        </w:rPr>
        <w:t>No shared credentials. Service identities use dedicated IAM roles or scoped credentials.</w:t>
      </w:r>
    </w:p>
    <w:p>
      <w:pPr>
        <w:pStyle w:val="ListBullet"/>
        <w:spacing w:before="0" w:after="60" w:line="250" w:lineRule="auto"/>
      </w:pPr>
      <w:r>
        <w:rPr>
          <w:rFonts w:ascii="Calibri" w:hAnsi="Calibri"/>
          <w:color w:val="110A24"/>
          <w:sz w:val="18"/>
        </w:rPr>
        <w:t>Private license signing key is non exportable in AWS KMS and never available to the browser or customer.</w:t>
      </w:r>
    </w:p>
    <w:p>
      <w:pPr>
        <w:pStyle w:val="ListBullet"/>
        <w:spacing w:before="0" w:after="60" w:line="250" w:lineRule="auto"/>
      </w:pPr>
      <w:r>
        <w:rPr>
          <w:rFonts w:ascii="Calibri" w:hAnsi="Calibri"/>
          <w:color w:val="110A24"/>
          <w:sz w:val="18"/>
        </w:rPr>
        <w:t>CSRF protections, secure cookies, short sensitive sessions, step up authentication for revoke, key and privilege operations.</w:t>
      </w:r>
    </w:p>
    <w:p>
      <w:pPr>
        <w:pStyle w:val="ListBullet"/>
        <w:spacing w:before="0" w:after="60" w:line="250" w:lineRule="auto"/>
      </w:pPr>
      <w:r>
        <w:rPr>
          <w:rFonts w:ascii="Calibri" w:hAnsi="Calibri"/>
          <w:color w:val="110A24"/>
          <w:sz w:val="18"/>
        </w:rPr>
        <w:t>WAF, rate limits, dependency scanning, secret scanning, SAST and DAST where appropriate.</w:t>
      </w:r>
    </w:p>
    <w:p>
      <w:pPr>
        <w:pStyle w:val="ListBullet"/>
        <w:spacing w:before="0" w:after="60" w:line="250" w:lineRule="auto"/>
      </w:pPr>
      <w:r>
        <w:rPr>
          <w:rFonts w:ascii="Calibri" w:hAnsi="Calibri"/>
          <w:color w:val="110A24"/>
          <w:sz w:val="18"/>
        </w:rPr>
        <w:t>No raw customer production telemetry, incident evidence or secrets unless a separately approved support workflow requires it.</w:t>
      </w:r>
    </w:p>
    <w:p>
      <w:pPr>
        <w:pStyle w:val="ListBullet"/>
        <w:spacing w:before="0" w:after="60" w:line="250" w:lineRule="auto"/>
      </w:pPr>
      <w:r>
        <w:rPr>
          <w:rFonts w:ascii="Calibri" w:hAnsi="Calibri"/>
          <w:color w:val="110A24"/>
          <w:sz w:val="18"/>
        </w:rPr>
        <w:t>Exports are permission filtered, audited, time limited and protected in storage.</w:t>
      </w:r>
    </w:p>
    <w:p>
      <w:pPr>
        <w:pStyle w:val="ListBullet"/>
        <w:spacing w:before="0" w:after="60" w:line="250" w:lineRule="auto"/>
      </w:pPr>
      <w:r>
        <w:rPr>
          <w:rFonts w:ascii="Calibri" w:hAnsi="Calibri"/>
          <w:color w:val="110A24"/>
          <w:sz w:val="18"/>
        </w:rPr>
        <w:t>Field level masking applies to sensitive commercial, security and personal data where roles do not require full values.</w:t>
      </w:r>
    </w:p>
    <w:p>
      <w:pPr>
        <w:pStyle w:val="ListBullet"/>
        <w:spacing w:before="0" w:after="60" w:line="250" w:lineRule="auto"/>
      </w:pPr>
      <w:r>
        <w:rPr>
          <w:rFonts w:ascii="Calibri" w:hAnsi="Calibri"/>
          <w:color w:val="110A24"/>
          <w:sz w:val="18"/>
        </w:rPr>
        <w:t>Data retention and deletion policies distinguish customer master data, commercial records, audit evidence, temporary exports and support metadata.</w:t>
      </w:r>
    </w:p>
    <w:p>
      <w:pPr>
        <w:pStyle w:val="ListBullet"/>
        <w:spacing w:before="0" w:after="60" w:line="250" w:lineRule="auto"/>
      </w:pPr>
      <w:r>
        <w:rPr>
          <w:rFonts w:ascii="Calibri" w:hAnsi="Calibri"/>
          <w:color w:val="110A24"/>
          <w:sz w:val="18"/>
        </w:rPr>
        <w:t>Every integration documents data classes, purpose, region, credentials owner and disable procedure.</w:t>
      </w:r>
    </w:p>
    <w:p>
      <w:pPr>
        <w:pStyle w:val="Heading1"/>
        <w:keepNext/>
      </w:pPr>
      <w:r>
        <w:rPr>
          <w:rFonts w:ascii="Calibri" w:hAnsi="Calibri"/>
          <w:b/>
          <w:color w:val="110A24"/>
          <w:sz w:val="36"/>
        </w:rPr>
        <w:t>38. Reliability, backup and disaster recovery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Area</w:t>
            </w:r>
          </w:p>
        </w:tc>
        <w:tc>
          <w:tcPr>
            <w:tcW w:type="dxa" w:w="96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Target and rule</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Availability</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Internal control plane target is defined separately from customer Relyxus. Production design uses Multi AZ managed dependencies where practical.</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Database backup</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RDS automated backup, point in time recovery and protected snapshots.</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Artifact backup</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S3 versioning, replication where required and protected evidence storage.</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Restore testing</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Quarterly restore drill initially, with evidence and follow up actions.</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Control plane RPO</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Reference target 15 minutes unless later business impact analysis changes it.</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Control plane RTO</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Reference target 4 hours unless later business impact analysis changes it.</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License continuity</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Installed customer products continue according to cached signed license policy if Apporine control plane is unavailable.</w:t>
            </w:r>
          </w:p>
        </w:tc>
      </w:tr>
      <w:tr>
        <w:trPr>
          <w:cantSplit/>
        </w:trPr>
        <w:tc>
          <w:tcPr>
            <w:tcW w:type="dxa" w:w="2304"/>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Key recovery</w:t>
            </w:r>
          </w:p>
        </w:tc>
        <w:tc>
          <w:tcPr>
            <w:tcW w:type="dxa" w:w="9648"/>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Signing key rotation and disaster recovery do not depend on one engineer. Procedures require dual control and documented public key transition.</w:t>
            </w:r>
          </w:p>
        </w:tc>
      </w:tr>
      <w:tr>
        <w:trPr>
          <w:cantSplit/>
        </w:trPr>
        <w:tc>
          <w:tcPr>
            <w:tcW w:type="dxa" w:w="2304"/>
            <w:tcMar>
              <w:top w:w="90" w:type="dxa"/>
              <w:start w:w="90" w:type="dxa"/>
              <w:bottom w:w="90" w:type="dxa"/>
              <w:end w:w="90" w:type="dxa"/>
            </w:tcMar>
            <w:vAlign w:val="top"/>
          </w:tcPr>
          <w:p>
            <w:pPr>
              <w:spacing w:before="0" w:after="0" w:line="240" w:lineRule="auto"/>
            </w:pPr>
            <w:r>
              <w:rPr>
                <w:rFonts w:ascii="Calibri" w:hAnsi="Calibri"/>
                <w:b w:val="0"/>
                <w:color w:val="110A24"/>
                <w:sz w:val="16"/>
              </w:rPr>
              <w:t>Queue recovery</w:t>
            </w:r>
          </w:p>
        </w:tc>
        <w:tc>
          <w:tcPr>
            <w:tcW w:type="dxa" w:w="9648"/>
            <w:tcMar>
              <w:top w:w="90" w:type="dxa"/>
              <w:start w:w="90" w:type="dxa"/>
              <w:bottom w:w="90" w:type="dxa"/>
              <w:end w:w="90" w:type="dxa"/>
            </w:tcMar>
            <w:vAlign w:val="top"/>
          </w:tcPr>
          <w:p>
            <w:pPr>
              <w:spacing w:before="0" w:after="0" w:line="240" w:lineRule="auto"/>
            </w:pPr>
            <w:r>
              <w:rPr>
                <w:rFonts w:ascii="Calibri" w:hAnsi="Calibri"/>
                <w:b w:val="0"/>
                <w:color w:val="110A24"/>
                <w:sz w:val="16"/>
              </w:rPr>
              <w:t>Failed asynchronous jobs land in dead letter queue with operator replay flow.</w:t>
            </w:r>
          </w:p>
        </w:tc>
      </w:tr>
    </w:tbl>
    <w:p>
      <w:pPr>
        <w:spacing w:after="20"/>
      </w:pPr>
    </w:p>
    <w:p>
      <w:pPr>
        <w:pStyle w:val="Heading1"/>
        <w:keepNext/>
      </w:pPr>
      <w:r>
        <w:rPr>
          <w:rFonts w:ascii="Calibri" w:hAnsi="Calibri"/>
          <w:b/>
          <w:color w:val="110A24"/>
          <w:sz w:val="36"/>
        </w:rPr>
        <w:t>39. Observability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Signal</w:t>
            </w:r>
          </w:p>
        </w:tc>
        <w:tc>
          <w:tcPr>
            <w:tcW w:type="dxa" w:w="9792"/>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Examples</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API</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Latency, error rate, authorization deny, request volume, dependency errors.</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Database</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Connections, slow queries, lock contention, storage, backup health.</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Licensing</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Issuance success, KMS sign failures, verification failures, expiring licenses, drift count.</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Workers</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Queue depth, retry count, dead letter messages, job duration.</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Integrations</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Sync success, sync age, failure reason, webhook retry.</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Approvals</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Pending count, aging, expired requests, policy failure.</w:t>
            </w:r>
          </w:p>
        </w:tc>
      </w:tr>
      <w:tr>
        <w:trPr>
          <w:cantSplit/>
        </w:trPr>
        <w:tc>
          <w:tcPr>
            <w:tcW w:type="dxa" w:w="2160"/>
            <w:tcMar>
              <w:top w:w="90" w:type="dxa"/>
              <w:start w:w="90" w:type="dxa"/>
              <w:bottom w:w="90" w:type="dxa"/>
              <w:end w:w="90" w:type="dxa"/>
            </w:tcMar>
            <w:vAlign w:val="top"/>
          </w:tcPr>
          <w:p>
            <w:pPr>
              <w:spacing w:before="0" w:after="0" w:line="240" w:lineRule="auto"/>
            </w:pPr>
            <w:r>
              <w:rPr>
                <w:rFonts w:ascii="Calibri" w:hAnsi="Calibri"/>
                <w:b w:val="0"/>
                <w:color w:val="110A24"/>
                <w:sz w:val="16"/>
              </w:rPr>
              <w:t>Security</w:t>
            </w:r>
          </w:p>
        </w:tc>
        <w:tc>
          <w:tcPr>
            <w:tcW w:type="dxa" w:w="9792"/>
            <w:tcMar>
              <w:top w:w="90" w:type="dxa"/>
              <w:start w:w="90" w:type="dxa"/>
              <w:bottom w:w="90" w:type="dxa"/>
              <w:end w:w="90" w:type="dxa"/>
            </w:tcMar>
            <w:vAlign w:val="top"/>
          </w:tcPr>
          <w:p>
            <w:pPr>
              <w:spacing w:before="0" w:after="0" w:line="240" w:lineRule="auto"/>
            </w:pPr>
            <w:r>
              <w:rPr>
                <w:rFonts w:ascii="Calibri" w:hAnsi="Calibri"/>
                <w:b w:val="0"/>
                <w:color w:val="110A24"/>
                <w:sz w:val="16"/>
              </w:rPr>
              <w:t>Failed admin authentication, unusual privileged action volume, break glass, API credential anomaly.</w:t>
            </w:r>
          </w:p>
        </w:tc>
      </w:tr>
      <w:tr>
        <w:trPr>
          <w:cantSplit/>
        </w:trPr>
        <w:tc>
          <w:tcPr>
            <w:tcW w:type="dxa" w:w="2160"/>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Business operations</w:t>
            </w:r>
          </w:p>
        </w:tc>
        <w:tc>
          <w:tcPr>
            <w:tcW w:type="dxa" w:w="9792"/>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Renewals due, unsupported deployments, onboarding overdue, data quality issues.</w:t>
            </w:r>
          </w:p>
        </w:tc>
      </w:tr>
    </w:tbl>
    <w:p>
      <w:pPr>
        <w:spacing w:after="20"/>
      </w:pPr>
    </w:p>
    <w:p>
      <w:pPr>
        <w:pStyle w:val="ListBullet"/>
        <w:spacing w:before="0" w:after="60" w:line="250" w:lineRule="auto"/>
      </w:pPr>
      <w:r>
        <w:rPr>
          <w:rFonts w:ascii="Calibri" w:hAnsi="Calibri"/>
          <w:color w:val="110A24"/>
          <w:sz w:val="18"/>
        </w:rPr>
        <w:t>Use structured logs with correlation IDs.</w:t>
      </w:r>
    </w:p>
    <w:p>
      <w:pPr>
        <w:pStyle w:val="ListBullet"/>
        <w:spacing w:before="0" w:after="60" w:line="250" w:lineRule="auto"/>
      </w:pPr>
      <w:r>
        <w:rPr>
          <w:rFonts w:ascii="Calibri" w:hAnsi="Calibri"/>
          <w:color w:val="110A24"/>
          <w:sz w:val="18"/>
        </w:rPr>
        <w:t>Use OpenTelemetry across web, API and worker boundaries where useful.</w:t>
      </w:r>
    </w:p>
    <w:p>
      <w:pPr>
        <w:pStyle w:val="ListBullet"/>
        <w:spacing w:before="0" w:after="60" w:line="250" w:lineRule="auto"/>
      </w:pPr>
      <w:r>
        <w:rPr>
          <w:rFonts w:ascii="Calibri" w:hAnsi="Calibri"/>
          <w:color w:val="110A24"/>
          <w:sz w:val="18"/>
        </w:rPr>
        <w:t>Never log private keys, raw tokens, passwords, customer credentials or unnecessary personal data.</w:t>
      </w:r>
    </w:p>
    <w:p>
      <w:pPr>
        <w:pStyle w:val="ListBullet"/>
        <w:spacing w:before="0" w:after="60" w:line="250" w:lineRule="auto"/>
      </w:pPr>
      <w:r>
        <w:rPr>
          <w:rFonts w:ascii="Calibri" w:hAnsi="Calibri"/>
          <w:color w:val="110A24"/>
          <w:sz w:val="18"/>
        </w:rPr>
        <w:t>Alert routing has owner, severity and runbook link.</w:t>
      </w:r>
    </w:p>
    <w:p>
      <w:pPr>
        <w:pStyle w:val="Heading1"/>
        <w:keepNext/>
      </w:pPr>
      <w:r>
        <w:rPr>
          <w:rFonts w:ascii="Calibri" w:hAnsi="Calibri"/>
          <w:b/>
          <w:color w:val="110A24"/>
          <w:sz w:val="36"/>
        </w:rPr>
        <w:t>40. Testing and quality gates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8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Test layer</w:t>
            </w:r>
          </w:p>
        </w:tc>
        <w:tc>
          <w:tcPr>
            <w:tcW w:type="dxa" w:w="98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Minimum coverage</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Unit</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Domain state machines, health calculations, renewal logic, entitlement validation, license lifecycle and permission helpers.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Database</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Migrations, constraints, immutable history, scoped queries, concurrency and rollback behavior.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API contract</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OpenAPI schemas, error contracts, pagination, idempotency where needed.</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Permission</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Role, product scope, customer scope, field visibility and forbidden action matrix.</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Licensing</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Valid signature, tamper, expiry, grace, suspend, revoke, schema version, offline import and key transition.</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Approval</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Self approval prevention, required approvers, expiry, rejected and cancelled states.</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Browser E2E</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Customer creation, contract, entitlement, license issue, renew, revoke request, deployment, approval, search, report export.</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Accessibility</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Keyboard, focus, headings, form labels, tables, contrast and modal behavior.</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Security</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IDOR, CSRF, session, export permission, privilege escalation, webhook signature, secret exposure and audit completeness.</w:t>
            </w:r>
          </w:p>
        </w:tc>
      </w:tr>
      <w:tr>
        <w:trPr>
          <w:cantSplit/>
        </w:trPr>
        <w:tc>
          <w:tcPr>
            <w:tcW w:type="dxa" w:w="208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Performance</w:t>
            </w:r>
          </w:p>
        </w:tc>
        <w:tc>
          <w:tcPr>
            <w:tcW w:type="dxa" w:w="9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list, global search, audit table, report query and large portfolio dashboard at target scale.</w:t>
            </w:r>
          </w:p>
        </w:tc>
      </w:tr>
      <w:tr>
        <w:trPr>
          <w:cantSplit/>
        </w:trPr>
        <w:tc>
          <w:tcPr>
            <w:tcW w:type="dxa" w:w="2088"/>
            <w:tcMar>
              <w:top w:w="90" w:type="dxa"/>
              <w:start w:w="90" w:type="dxa"/>
              <w:bottom w:w="90" w:type="dxa"/>
              <w:end w:w="90" w:type="dxa"/>
            </w:tcMar>
            <w:vAlign w:val="top"/>
          </w:tcPr>
          <w:p>
            <w:pPr>
              <w:spacing w:before="0" w:after="0" w:line="240" w:lineRule="auto"/>
            </w:pPr>
            <w:r>
              <w:rPr>
                <w:rFonts w:ascii="Calibri" w:hAnsi="Calibri"/>
                <w:b w:val="0"/>
                <w:color w:val="110A24"/>
                <w:sz w:val="15"/>
              </w:rPr>
              <w:t>DR</w:t>
            </w:r>
          </w:p>
        </w:tc>
        <w:tc>
          <w:tcPr>
            <w:tcW w:type="dxa" w:w="9864"/>
            <w:tcMar>
              <w:top w:w="90" w:type="dxa"/>
              <w:start w:w="90" w:type="dxa"/>
              <w:bottom w:w="90" w:type="dxa"/>
              <w:end w:w="90" w:type="dxa"/>
            </w:tcMar>
            <w:vAlign w:val="top"/>
          </w:tcPr>
          <w:p>
            <w:pPr>
              <w:spacing w:before="0" w:after="0" w:line="240" w:lineRule="auto"/>
            </w:pPr>
            <w:r>
              <w:rPr>
                <w:rFonts w:ascii="Calibri" w:hAnsi="Calibri"/>
                <w:b w:val="0"/>
                <w:color w:val="110A24"/>
                <w:sz w:val="15"/>
              </w:rPr>
              <w:t>Database restore, artifact recovery, queue recovery and documented control plane continuity.</w:t>
            </w:r>
          </w:p>
        </w:tc>
      </w:tr>
    </w:tbl>
    <w:p>
      <w:pPr>
        <w:spacing w:after="20"/>
      </w:pPr>
    </w:p>
    <w:p>
      <w:pPr>
        <w:pStyle w:val="Heading1"/>
        <w:keepNext/>
      </w:pPr>
      <w:r>
        <w:rPr>
          <w:rFonts w:ascii="Calibri" w:hAnsi="Calibri"/>
          <w:b/>
          <w:color w:val="110A24"/>
          <w:sz w:val="36"/>
        </w:rPr>
        <w:t>41. Repository structure</w:t>
      </w:r>
    </w:p>
    <w:tbl>
      <w:tblPr>
        <w:tblW w:type="auto" w:w="0"/>
        <w:jc w:val="center"/>
        <w:tblLook w:firstColumn="1" w:firstRow="1" w:lastColumn="0" w:lastRow="0" w:noHBand="0" w:noVBand="1" w:val="04A0"/>
      </w:tblPr>
      <w:tblGrid>
        <w:gridCol w:w="10368"/>
      </w:tblGrid>
      <w:tr>
        <w:tc>
          <w:tcPr>
            <w:tcW w:type="dxa" w:w="10368"/>
            <w:shd w:fill="F3F1F6"/>
            <w:tcMar>
              <w:top w:w="120" w:type="dxa"/>
              <w:start w:w="140" w:type="dxa"/>
              <w:bottom w:w="120" w:type="dxa"/>
              <w:end w:w="140" w:type="dxa"/>
            </w:tcMar>
          </w:tcPr>
          <w:p>
            <w:pPr>
              <w:spacing w:before="0" w:after="0" w:line="240" w:lineRule="auto"/>
            </w:pPr>
            <w:r>
              <w:rPr>
                <w:rFonts w:ascii="Consolas" w:hAnsi="Consolas"/>
                <w:color w:val="2D263C"/>
                <w:sz w:val="17"/>
              </w:rPr>
              <w:t>apporine_control_plane/</w:t>
              <w:br/>
              <w:t xml:space="preserve">    apps/</w:t>
              <w:br/>
              <w:t xml:space="preserve">        admin_web/</w:t>
              <w:br/>
              <w:t xml:space="preserve">    services/</w:t>
              <w:br/>
              <w:t xml:space="preserve">        control_api/</w:t>
              <w:br/>
              <w:t xml:space="preserve">        license_issuer/</w:t>
              <w:br/>
              <w:t xml:space="preserve">        notifications_worker/</w:t>
              <w:br/>
              <w:t xml:space="preserve">        integrations_worker/</w:t>
              <w:br/>
              <w:t xml:space="preserve">    packages/</w:t>
              <w:br/>
              <w:t xml:space="preserve">        schemas/</w:t>
              <w:br/>
              <w:t xml:space="preserve">        ui/</w:t>
              <w:br/>
              <w:t xml:space="preserve">        auth/</w:t>
              <w:br/>
              <w:t xml:space="preserve">        audit/</w:t>
              <w:br/>
              <w:t xml:space="preserve">    infrastructure/</w:t>
              <w:br/>
              <w:t xml:space="preserve">        opentofu/</w:t>
              <w:br/>
              <w:t xml:space="preserve">            aws/</w:t>
              <w:br/>
              <w:t xml:space="preserve">        ecs/</w:t>
              <w:br/>
              <w:t xml:space="preserve">    docs/</w:t>
              <w:br/>
              <w:t xml:space="preserve">        spec/</w:t>
              <w:br/>
              <w:t xml:space="preserve">        adr/</w:t>
              <w:br/>
              <w:t xml:space="preserve">        runbooks/</w:t>
              <w:br/>
              <w:t xml:space="preserve">    tests/</w:t>
              <w:br/>
              <w:t xml:space="preserve">        unit/</w:t>
              <w:br/>
              <w:t xml:space="preserve">        integration/</w:t>
              <w:br/>
              <w:t xml:space="preserve">        contract/</w:t>
              <w:br/>
              <w:t xml:space="preserve">        permission/</w:t>
              <w:br/>
              <w:t xml:space="preserve">        browser/</w:t>
              <w:br/>
              <w:t xml:space="preserve">        security/</w:t>
            </w:r>
          </w:p>
        </w:tc>
        <w:trPr>
          <w:tblHeader/>
        </w:trPr>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F5F3F7"/>
            <w:tcMar>
              <w:top w:w="120" w:type="dxa"/>
              <w:start w:w="160" w:type="dxa"/>
              <w:bottom w:w="120" w:type="dxa"/>
              <w:end w:w="160" w:type="dxa"/>
            </w:tcMar>
            <w:tcBorders>
              <w:left w:val="single" w:sz="18" w:color="D8D4E2"/>
            </w:tcBorders>
          </w:tcPr>
          <w:p>
            <w:pPr>
              <w:spacing w:before="0" w:after="40" w:line="240" w:lineRule="auto"/>
            </w:pPr>
            <w:r>
              <w:rPr>
                <w:rFonts w:ascii="Calibri" w:hAnsi="Calibri"/>
                <w:b/>
                <w:color w:val="110A24"/>
                <w:sz w:val="20"/>
              </w:rPr>
              <w:t>Repository rule</w:t>
            </w:r>
          </w:p>
          <w:p>
            <w:pPr>
              <w:spacing w:before="0" w:after="0" w:line="252" w:lineRule="auto"/>
            </w:pPr>
            <w:r>
              <w:rPr>
                <w:rFonts w:ascii="Calibri" w:hAnsi="Calibri"/>
                <w:color w:val="110A24"/>
                <w:sz w:val="18"/>
              </w:rPr>
              <w:t>Keep the Apporine control plane repository separate from the customer deployed Relyxus repository unless an explicit architecture decision approves a different organization.</w:t>
            </w:r>
          </w:p>
        </w:tc>
      </w:tr>
    </w:tbl>
    <w:p>
      <w:pPr>
        <w:spacing w:after="20"/>
      </w:pPr>
    </w:p>
    <w:p>
      <w:pPr>
        <w:pStyle w:val="Heading1"/>
        <w:keepNext/>
      </w:pPr>
      <w:r>
        <w:rPr>
          <w:rFonts w:ascii="Calibri" w:hAnsi="Calibri"/>
          <w:b/>
          <w:color w:val="110A24"/>
          <w:sz w:val="36"/>
        </w:rPr>
        <w:t>42. Implementation sequence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864"/>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Phase</w:t>
            </w:r>
          </w:p>
        </w:tc>
        <w:tc>
          <w:tcPr>
            <w:tcW w:type="dxa" w:w="6840"/>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Scope</w:t>
            </w:r>
          </w:p>
        </w:tc>
        <w:tc>
          <w:tcPr>
            <w:tcW w:type="dxa" w:w="4248"/>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Exit condition</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0</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Approve this specification, licensing authority and product boundaries.</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No unresolved architecture conflict that blocks foundation work.</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1</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Repository, auth, staff RBAC, database migrations, audit framework, environments and base UI system.</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Staff can sign in to development, permissions and audit foundation pass tests.</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2</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Products, Customers, Contacts, Account Teams, global search and Customer 360 foundation.</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Customer record, product relationship and timeline operate end to end.</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3</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Contracts, Subscriptions, Entitlements, renewal dates and commercial views.</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Commercial source can create validated customer entitlement state.</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4</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License Issuer, KMS, License screens, approvals, issue, renew, suspend, revoke and offline artifact flow.</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Signed license lifecycle passes security, tamper and approval tests.</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5</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Deployments, Releases, compatibility, upgrade readiness, check in metadata and drift engine.</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Customer fleet and release exposure are visible without remote production access.</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6</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Onboarding, Health, Support references, Success plans, Tasks and Renewal workspace.</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Customer lifecycle can be operated from Customer 360.</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7</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Financial intelligence, cost attribution, analytics, reports and data quality center.</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Founders have auditable commercial and operating metrics.</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8</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Security operations, access reviews, API clients, key rotation workflow and export center.</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Security operations meet defined controls and evidence expectations.</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9</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Integrations, automation rules and notification hardening.</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External systems synchronize reliably and failures are visible.</w:t>
            </w:r>
          </w:p>
        </w:tc>
      </w:tr>
      <w:tr>
        <w:trPr>
          <w:cantSplit/>
        </w:trPr>
        <w:tc>
          <w:tcPr>
            <w:tcW w:type="dxa" w:w="864"/>
            <w:tcMar>
              <w:top w:w="90" w:type="dxa"/>
              <w:start w:w="90" w:type="dxa"/>
              <w:bottom w:w="90" w:type="dxa"/>
              <w:end w:w="90" w:type="dxa"/>
            </w:tcMar>
            <w:vAlign w:val="top"/>
          </w:tcPr>
          <w:p>
            <w:pPr>
              <w:spacing w:before="0" w:after="0" w:line="240" w:lineRule="auto"/>
            </w:pPr>
            <w:r>
              <w:rPr>
                <w:rFonts w:ascii="Calibri" w:hAnsi="Calibri"/>
                <w:b w:val="0"/>
                <w:color w:val="110A24"/>
                <w:sz w:val="15"/>
              </w:rPr>
              <w:t>10</w:t>
            </w:r>
          </w:p>
        </w:tc>
        <w:tc>
          <w:tcPr>
            <w:tcW w:type="dxa" w:w="6840"/>
            <w:tcMar>
              <w:top w:w="90" w:type="dxa"/>
              <w:start w:w="90" w:type="dxa"/>
              <w:bottom w:w="90" w:type="dxa"/>
              <w:end w:w="90" w:type="dxa"/>
            </w:tcMar>
            <w:vAlign w:val="top"/>
          </w:tcPr>
          <w:p>
            <w:pPr>
              <w:spacing w:before="0" w:after="0" w:line="240" w:lineRule="auto"/>
            </w:pPr>
            <w:r>
              <w:rPr>
                <w:rFonts w:ascii="Calibri" w:hAnsi="Calibri"/>
                <w:b w:val="0"/>
                <w:color w:val="110A24"/>
                <w:sz w:val="15"/>
              </w:rPr>
              <w:t>AI operator assistant in read only mode, then controlled proposals after security review.</w:t>
            </w:r>
          </w:p>
        </w:tc>
        <w:tc>
          <w:tcPr>
            <w:tcW w:type="dxa" w:w="4248"/>
            <w:tcMar>
              <w:top w:w="90" w:type="dxa"/>
              <w:start w:w="90" w:type="dxa"/>
              <w:bottom w:w="90" w:type="dxa"/>
              <w:end w:w="90" w:type="dxa"/>
            </w:tcMar>
            <w:vAlign w:val="top"/>
          </w:tcPr>
          <w:p>
            <w:pPr>
              <w:spacing w:before="0" w:after="0" w:line="240" w:lineRule="auto"/>
            </w:pPr>
            <w:r>
              <w:rPr>
                <w:rFonts w:ascii="Calibri" w:hAnsi="Calibri"/>
                <w:b w:val="0"/>
                <w:color w:val="110A24"/>
                <w:sz w:val="15"/>
              </w:rPr>
              <w:t>AI cannot bypass permissions or governed mutation flows.</w:t>
            </w:r>
          </w:p>
        </w:tc>
      </w:tr>
      <w:tr>
        <w:trPr>
          <w:cantSplit/>
        </w:trPr>
        <w:tc>
          <w:tcPr>
            <w:tcW w:type="dxa" w:w="864"/>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11</w:t>
            </w:r>
          </w:p>
        </w:tc>
        <w:tc>
          <w:tcPr>
            <w:tcW w:type="dxa" w:w="6840"/>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Production AWS hardening, DR, pentest, performance testing and operational runbooks.</w:t>
            </w:r>
          </w:p>
        </w:tc>
        <w:tc>
          <w:tcPr>
            <w:tcW w:type="dxa" w:w="4248"/>
            <w:shd w:fill="FBFAFC"/>
            <w:tcMar>
              <w:top w:w="90" w:type="dxa"/>
              <w:start w:w="90" w:type="dxa"/>
              <w:bottom w:w="90" w:type="dxa"/>
              <w:end w:w="90" w:type="dxa"/>
            </w:tcMar>
            <w:vAlign w:val="top"/>
          </w:tcPr>
          <w:p>
            <w:pPr>
              <w:spacing w:before="0" w:after="0" w:line="240" w:lineRule="auto"/>
            </w:pPr>
            <w:r>
              <w:rPr>
                <w:rFonts w:ascii="Calibri" w:hAnsi="Calibri"/>
                <w:b w:val="0"/>
                <w:color w:val="110A24"/>
                <w:sz w:val="15"/>
              </w:rPr>
              <w:t>Production release gates pass and rollback is proven.</w:t>
            </w:r>
          </w:p>
        </w:tc>
      </w:tr>
    </w:tbl>
    <w:p>
      <w:pPr>
        <w:spacing w:after="20"/>
      </w:pPr>
    </w:p>
    <w:p>
      <w:pPr>
        <w:pStyle w:val="Heading1"/>
        <w:keepNext/>
      </w:pPr>
      <w:r>
        <w:rPr>
          <w:rFonts w:ascii="Calibri" w:hAnsi="Calibri"/>
          <w:b/>
          <w:color w:val="110A24"/>
          <w:sz w:val="36"/>
        </w:rPr>
        <w:t>43. Cursor build contract</w:t>
      </w:r>
    </w:p>
    <w:tbl>
      <w:tblPr>
        <w:tblW w:type="auto" w:w="0"/>
        <w:jc w:val="center"/>
        <w:tblLook w:firstColumn="1" w:firstRow="1" w:lastColumn="0" w:lastRow="0" w:noHBand="0" w:noVBand="1" w:val="04A0"/>
      </w:tblPr>
      <w:tblGrid>
        <w:gridCol w:w="10368"/>
      </w:tblGrid>
      <w:tr>
        <w:trPr>
          <w:cantSplit/>
          <w:tblHeader/>
        </w:trPr>
        <w:tc>
          <w:tcPr>
            <w:tcW w:type="dxa" w:w="10368"/>
            <w:shd w:fill="F2EDFF"/>
            <w:tcMar>
              <w:top w:w="120" w:type="dxa"/>
              <w:start w:w="160" w:type="dxa"/>
              <w:bottom w:w="120" w:type="dxa"/>
              <w:end w:w="160" w:type="dxa"/>
            </w:tcMar>
            <w:tcBorders>
              <w:left w:val="single" w:sz="18" w:color="7040FF"/>
            </w:tcBorders>
          </w:tcPr>
          <w:p>
            <w:pPr>
              <w:spacing w:before="0" w:after="40" w:line="240" w:lineRule="auto"/>
            </w:pPr>
            <w:r>
              <w:rPr>
                <w:rFonts w:ascii="Calibri" w:hAnsi="Calibri"/>
                <w:b/>
                <w:color w:val="110A24"/>
                <w:sz w:val="20"/>
              </w:rPr>
              <w:t>Cursor rule</w:t>
            </w:r>
          </w:p>
          <w:p>
            <w:pPr>
              <w:spacing w:before="0" w:after="0" w:line="252" w:lineRule="auto"/>
            </w:pPr>
            <w:r>
              <w:rPr>
                <w:rFonts w:ascii="Calibri" w:hAnsi="Calibri"/>
                <w:color w:val="110A24"/>
                <w:sz w:val="18"/>
              </w:rPr>
              <w:t>Read this document completely before implementation. If this specification is silent or conflicts with the Licensing and Entitlement Architecture Specification, stop and raise a specification question. Do not invent business rules.</w:t>
            </w:r>
          </w:p>
        </w:tc>
      </w:tr>
    </w:tbl>
    <w:p>
      <w:pPr>
        <w:spacing w:after="20"/>
      </w:pPr>
    </w:p>
    <w:p>
      <w:pPr>
        <w:pStyle w:val="ListBullet"/>
        <w:spacing w:before="0" w:after="60" w:line="250" w:lineRule="auto"/>
      </w:pPr>
      <w:r>
        <w:rPr>
          <w:rFonts w:ascii="Calibri" w:hAnsi="Calibri"/>
          <w:color w:val="110A24"/>
          <w:sz w:val="18"/>
        </w:rPr>
        <w:t>Implement in approved phases. Do not generate the entire control plane in one pass.</w:t>
      </w:r>
    </w:p>
    <w:p>
      <w:pPr>
        <w:pStyle w:val="ListBullet"/>
        <w:spacing w:before="0" w:after="60" w:line="250" w:lineRule="auto"/>
      </w:pPr>
      <w:r>
        <w:rPr>
          <w:rFonts w:ascii="Calibri" w:hAnsi="Calibri"/>
          <w:color w:val="110A24"/>
          <w:sz w:val="18"/>
        </w:rPr>
        <w:t>Before each phase, produce the proposed data model, API contracts, screen inventory, repository changes, security implications and tests.</w:t>
      </w:r>
    </w:p>
    <w:p>
      <w:pPr>
        <w:pStyle w:val="ListBullet"/>
        <w:spacing w:before="0" w:after="60" w:line="250" w:lineRule="auto"/>
      </w:pPr>
      <w:r>
        <w:rPr>
          <w:rFonts w:ascii="Calibri" w:hAnsi="Calibri"/>
          <w:color w:val="110A24"/>
          <w:sz w:val="18"/>
        </w:rPr>
        <w:t>Use exact button labels and interaction rules from this specification unless an approved design change replaces them.</w:t>
      </w:r>
    </w:p>
    <w:p>
      <w:pPr>
        <w:pStyle w:val="ListBullet"/>
        <w:spacing w:before="0" w:after="60" w:line="250" w:lineRule="auto"/>
      </w:pPr>
      <w:r>
        <w:rPr>
          <w:rFonts w:ascii="Calibri" w:hAnsi="Calibri"/>
          <w:color w:val="110A24"/>
          <w:sz w:val="18"/>
        </w:rPr>
        <w:t>Do not add rainbow colors, decorative gradients, arbitrary chart palettes or a second design system.</w:t>
      </w:r>
    </w:p>
    <w:p>
      <w:pPr>
        <w:pStyle w:val="ListBullet"/>
        <w:spacing w:before="0" w:after="60" w:line="250" w:lineRule="auto"/>
      </w:pPr>
      <w:r>
        <w:rPr>
          <w:rFonts w:ascii="Calibri" w:hAnsi="Calibri"/>
          <w:color w:val="110A24"/>
          <w:sz w:val="18"/>
        </w:rPr>
        <w:t>Do not add Kubernetes by default. Use ECS Fargate according to the AWS architecture decision.</w:t>
      </w:r>
    </w:p>
    <w:p>
      <w:pPr>
        <w:pStyle w:val="ListBullet"/>
        <w:spacing w:before="0" w:after="60" w:line="250" w:lineRule="auto"/>
      </w:pPr>
      <w:r>
        <w:rPr>
          <w:rFonts w:ascii="Calibri" w:hAnsi="Calibri"/>
          <w:color w:val="110A24"/>
          <w:sz w:val="18"/>
        </w:rPr>
        <w:t>Do not expose private KMS signing keys or create browser code that can sign licenses.</w:t>
      </w:r>
    </w:p>
    <w:p>
      <w:pPr>
        <w:pStyle w:val="ListBullet"/>
        <w:spacing w:before="0" w:after="60" w:line="250" w:lineRule="auto"/>
      </w:pPr>
      <w:r>
        <w:rPr>
          <w:rFonts w:ascii="Calibri" w:hAnsi="Calibri"/>
          <w:color w:val="110A24"/>
          <w:sz w:val="18"/>
        </w:rPr>
        <w:t>Do not copy raw customer production logs, traces, incident evidence or credentials into this control plane.</w:t>
      </w:r>
    </w:p>
    <w:p>
      <w:pPr>
        <w:pStyle w:val="ListBullet"/>
        <w:spacing w:before="0" w:after="60" w:line="250" w:lineRule="auto"/>
      </w:pPr>
      <w:r>
        <w:rPr>
          <w:rFonts w:ascii="Calibri" w:hAnsi="Calibri"/>
          <w:color w:val="110A24"/>
          <w:sz w:val="18"/>
        </w:rPr>
        <w:t>Do not invent finance precision when cost or revenue source data is incomplete.</w:t>
      </w:r>
    </w:p>
    <w:p>
      <w:pPr>
        <w:pStyle w:val="ListBullet"/>
        <w:spacing w:before="0" w:after="60" w:line="250" w:lineRule="auto"/>
      </w:pPr>
      <w:r>
        <w:rPr>
          <w:rFonts w:ascii="Calibri" w:hAnsi="Calibri"/>
          <w:color w:val="110A24"/>
          <w:sz w:val="18"/>
        </w:rPr>
        <w:t>Do not claim enterprise readiness because screens exist. Acceptance requires tests, security review, recovery and audit evidence.</w:t>
      </w:r>
    </w:p>
    <w:p>
      <w:pPr>
        <w:pStyle w:val="ListBullet"/>
        <w:spacing w:before="0" w:after="60" w:line="250" w:lineRule="auto"/>
      </w:pPr>
      <w:r>
        <w:rPr>
          <w:rFonts w:ascii="Calibri" w:hAnsi="Calibri"/>
          <w:color w:val="110A24"/>
          <w:sz w:val="18"/>
        </w:rPr>
        <w:t>Every sensitive mutation must have authorization, reason, audit, and approval behavior where specified.</w:t>
      </w:r>
    </w:p>
    <w:p>
      <w:pPr>
        <w:pStyle w:val="Heading2"/>
        <w:keepNext/>
      </w:pPr>
      <w:r>
        <w:rPr>
          <w:rFonts w:ascii="Calibri" w:hAnsi="Calibri"/>
          <w:b/>
          <w:color w:val="7040FF"/>
          <w:sz w:val="26"/>
        </w:rPr>
        <w:t>43.1 Cursor first response</w:t>
      </w:r>
    </w:p>
    <w:p>
      <w:pPr>
        <w:spacing w:before="0" w:after="100" w:line="259" w:lineRule="auto"/>
      </w:pPr>
      <w:r>
        <w:rPr>
          <w:rFonts w:ascii="Calibri" w:hAnsi="Calibri"/>
          <w:b w:val="0"/>
          <w:i w:val="0"/>
          <w:color w:val="110A24"/>
          <w:sz w:val="19"/>
        </w:rPr>
        <w:t>Before writing code, Cursor must return the following planning sections:</w:t>
      </w:r>
    </w:p>
    <w:p>
      <w:pPr>
        <w:pStyle w:val="ListBullet"/>
        <w:spacing w:before="0" w:after="60" w:line="250" w:lineRule="auto"/>
      </w:pPr>
      <w:r>
        <w:rPr>
          <w:rFonts w:ascii="Calibri" w:hAnsi="Calibri"/>
          <w:color w:val="110A24"/>
          <w:sz w:val="18"/>
        </w:rPr>
        <w:t>Current repository state.</w:t>
      </w:r>
    </w:p>
    <w:p>
      <w:pPr>
        <w:pStyle w:val="ListBullet"/>
        <w:spacing w:before="0" w:after="60" w:line="250" w:lineRule="auto"/>
      </w:pPr>
      <w:r>
        <w:rPr>
          <w:rFonts w:ascii="Calibri" w:hAnsi="Calibri"/>
          <w:color w:val="110A24"/>
          <w:sz w:val="18"/>
        </w:rPr>
        <w:t>Documents read and authority order.</w:t>
      </w:r>
    </w:p>
    <w:p>
      <w:pPr>
        <w:pStyle w:val="ListBullet"/>
        <w:spacing w:before="0" w:after="60" w:line="250" w:lineRule="auto"/>
      </w:pPr>
      <w:r>
        <w:rPr>
          <w:rFonts w:ascii="Calibri" w:hAnsi="Calibri"/>
          <w:color w:val="110A24"/>
          <w:sz w:val="18"/>
        </w:rPr>
        <w:t>Proposed bounded contexts and service boundaries.</w:t>
      </w:r>
    </w:p>
    <w:p>
      <w:pPr>
        <w:pStyle w:val="ListBullet"/>
        <w:spacing w:before="0" w:after="60" w:line="250" w:lineRule="auto"/>
      </w:pPr>
      <w:r>
        <w:rPr>
          <w:rFonts w:ascii="Calibri" w:hAnsi="Calibri"/>
          <w:color w:val="110A24"/>
          <w:sz w:val="18"/>
        </w:rPr>
        <w:t>Proposed repository structure.</w:t>
      </w:r>
    </w:p>
    <w:p>
      <w:pPr>
        <w:pStyle w:val="ListBullet"/>
        <w:spacing w:before="0" w:after="60" w:line="250" w:lineRule="auto"/>
      </w:pPr>
      <w:r>
        <w:rPr>
          <w:rFonts w:ascii="Calibri" w:hAnsi="Calibri"/>
          <w:color w:val="110A24"/>
          <w:sz w:val="18"/>
        </w:rPr>
        <w:t>Authentication and permission model.</w:t>
      </w:r>
    </w:p>
    <w:p>
      <w:pPr>
        <w:pStyle w:val="ListBullet"/>
        <w:spacing w:before="0" w:after="60" w:line="250" w:lineRule="auto"/>
      </w:pPr>
      <w:r>
        <w:rPr>
          <w:rFonts w:ascii="Calibri" w:hAnsi="Calibri"/>
          <w:color w:val="110A24"/>
          <w:sz w:val="18"/>
        </w:rPr>
        <w:t>Data model and migration plan.</w:t>
      </w:r>
    </w:p>
    <w:p>
      <w:pPr>
        <w:pStyle w:val="ListBullet"/>
        <w:spacing w:before="0" w:after="60" w:line="250" w:lineRule="auto"/>
      </w:pPr>
      <w:r>
        <w:rPr>
          <w:rFonts w:ascii="Calibri" w:hAnsi="Calibri"/>
          <w:color w:val="110A24"/>
          <w:sz w:val="18"/>
        </w:rPr>
        <w:t>Global search and query strategy.</w:t>
      </w:r>
    </w:p>
    <w:p>
      <w:pPr>
        <w:pStyle w:val="ListBullet"/>
        <w:spacing w:before="0" w:after="60" w:line="250" w:lineRule="auto"/>
      </w:pPr>
      <w:r>
        <w:rPr>
          <w:rFonts w:ascii="Calibri" w:hAnsi="Calibri"/>
          <w:color w:val="110A24"/>
          <w:sz w:val="18"/>
        </w:rPr>
        <w:t>Audit architecture.</w:t>
      </w:r>
    </w:p>
    <w:p>
      <w:pPr>
        <w:pStyle w:val="ListBullet"/>
        <w:spacing w:before="0" w:after="60" w:line="250" w:lineRule="auto"/>
      </w:pPr>
      <w:r>
        <w:rPr>
          <w:rFonts w:ascii="Calibri" w:hAnsi="Calibri"/>
          <w:color w:val="110A24"/>
          <w:sz w:val="18"/>
        </w:rPr>
        <w:t>Licensing integration boundary.</w:t>
      </w:r>
    </w:p>
    <w:p>
      <w:pPr>
        <w:pStyle w:val="ListBullet"/>
        <w:spacing w:before="0" w:after="60" w:line="250" w:lineRule="auto"/>
      </w:pPr>
      <w:r>
        <w:rPr>
          <w:rFonts w:ascii="Calibri" w:hAnsi="Calibri"/>
          <w:color w:val="110A24"/>
          <w:sz w:val="18"/>
        </w:rPr>
        <w:t>AWS deployment plan using ECS Fargate.</w:t>
      </w:r>
    </w:p>
    <w:p>
      <w:pPr>
        <w:pStyle w:val="ListBullet"/>
        <w:spacing w:before="0" w:after="60" w:line="250" w:lineRule="auto"/>
      </w:pPr>
      <w:r>
        <w:rPr>
          <w:rFonts w:ascii="Calibri" w:hAnsi="Calibri"/>
          <w:color w:val="110A24"/>
          <w:sz w:val="18"/>
        </w:rPr>
        <w:t>UI foundation and design token mapping.</w:t>
      </w:r>
    </w:p>
    <w:p>
      <w:pPr>
        <w:pStyle w:val="ListBullet"/>
        <w:spacing w:before="0" w:after="60" w:line="250" w:lineRule="auto"/>
      </w:pPr>
      <w:r>
        <w:rPr>
          <w:rFonts w:ascii="Calibri" w:hAnsi="Calibri"/>
          <w:color w:val="110A24"/>
          <w:sz w:val="18"/>
        </w:rPr>
        <w:t>Phase 1 screen list and exact APIs.</w:t>
      </w:r>
    </w:p>
    <w:p>
      <w:pPr>
        <w:pStyle w:val="ListBullet"/>
        <w:spacing w:before="0" w:after="60" w:line="250" w:lineRule="auto"/>
      </w:pPr>
      <w:r>
        <w:rPr>
          <w:rFonts w:ascii="Calibri" w:hAnsi="Calibri"/>
          <w:color w:val="110A24"/>
          <w:sz w:val="18"/>
        </w:rPr>
        <w:t>Testing plan.</w:t>
      </w:r>
    </w:p>
    <w:p>
      <w:pPr>
        <w:pStyle w:val="ListBullet"/>
        <w:spacing w:before="0" w:after="60" w:line="250" w:lineRule="auto"/>
      </w:pPr>
      <w:r>
        <w:rPr>
          <w:rFonts w:ascii="Calibri" w:hAnsi="Calibri"/>
          <w:color w:val="110A24"/>
          <w:sz w:val="18"/>
        </w:rPr>
        <w:t>Security and privacy risks.</w:t>
      </w:r>
    </w:p>
    <w:p>
      <w:pPr>
        <w:pStyle w:val="ListBullet"/>
        <w:spacing w:before="0" w:after="60" w:line="250" w:lineRule="auto"/>
      </w:pPr>
      <w:r>
        <w:rPr>
          <w:rFonts w:ascii="Calibri" w:hAnsi="Calibri"/>
          <w:color w:val="110A24"/>
          <w:sz w:val="18"/>
        </w:rPr>
        <w:t>Open specification questions.</w:t>
      </w:r>
    </w:p>
    <w:p>
      <w:pPr>
        <w:pStyle w:val="ListBullet"/>
        <w:spacing w:before="0" w:after="60" w:line="250" w:lineRule="auto"/>
      </w:pPr>
      <w:r>
        <w:rPr>
          <w:rFonts w:ascii="Calibri" w:hAnsi="Calibri"/>
          <w:color w:val="110A24"/>
          <w:sz w:val="18"/>
        </w:rPr>
        <w:t>Phase 1 implementation steps.</w:t>
      </w:r>
    </w:p>
    <w:p>
      <w:pPr>
        <w:spacing w:before="0" w:after="100" w:line="259" w:lineRule="auto"/>
      </w:pPr>
      <w:r>
        <w:rPr>
          <w:rFonts w:ascii="Calibri" w:hAnsi="Calibri"/>
          <w:b/>
          <w:i w:val="0"/>
          <w:color w:val="7040FF"/>
          <w:sz w:val="19"/>
        </w:rPr>
        <w:t>Cursor must not write implementation code until the plan is approved.</w:t>
      </w:r>
    </w:p>
    <w:p>
      <w:pPr>
        <w:pStyle w:val="Heading1"/>
        <w:keepNext/>
      </w:pPr>
      <w:r>
        <w:rPr>
          <w:rFonts w:ascii="Calibri" w:hAnsi="Calibri"/>
          <w:b/>
          <w:color w:val="110A24"/>
          <w:sz w:val="36"/>
        </w:rPr>
        <w:t>44. Definition of done</w:t>
      </w:r>
    </w:p>
    <w:p>
      <w:pPr>
        <w:pStyle w:val="ListBullet"/>
        <w:spacing w:before="0" w:after="60" w:line="250" w:lineRule="auto"/>
      </w:pPr>
      <w:r>
        <w:rPr>
          <w:rFonts w:ascii="Calibri" w:hAnsi="Calibri"/>
          <w:color w:val="110A24"/>
          <w:sz w:val="18"/>
        </w:rPr>
        <w:t>One Apporine control plane manages multiple products and customers without product specific admin applications.</w:t>
      </w:r>
    </w:p>
    <w:p>
      <w:pPr>
        <w:pStyle w:val="ListBullet"/>
        <w:spacing w:before="0" w:after="60" w:line="250" w:lineRule="auto"/>
      </w:pPr>
      <w:r>
        <w:rPr>
          <w:rFonts w:ascii="Calibri" w:hAnsi="Calibri"/>
          <w:color w:val="110A24"/>
          <w:sz w:val="18"/>
        </w:rPr>
        <w:t>Customer 360 provides end to end relationship context without copying customer production data.</w:t>
      </w:r>
    </w:p>
    <w:p>
      <w:pPr>
        <w:pStyle w:val="ListBullet"/>
        <w:spacing w:before="0" w:after="60" w:line="250" w:lineRule="auto"/>
      </w:pPr>
      <w:r>
        <w:rPr>
          <w:rFonts w:ascii="Calibri" w:hAnsi="Calibri"/>
          <w:color w:val="110A24"/>
          <w:sz w:val="18"/>
        </w:rPr>
        <w:t>Contracts, entitlements, licenses and deployments are linked and historical changes remain auditable.</w:t>
      </w:r>
    </w:p>
    <w:p>
      <w:pPr>
        <w:pStyle w:val="ListBullet"/>
        <w:spacing w:before="0" w:after="60" w:line="250" w:lineRule="auto"/>
      </w:pPr>
      <w:r>
        <w:rPr>
          <w:rFonts w:ascii="Calibri" w:hAnsi="Calibri"/>
          <w:color w:val="110A24"/>
          <w:sz w:val="18"/>
        </w:rPr>
        <w:t>Customer specific licenses remain separate from immutable application images.</w:t>
      </w:r>
    </w:p>
    <w:p>
      <w:pPr>
        <w:pStyle w:val="ListBullet"/>
        <w:spacing w:before="0" w:after="60" w:line="250" w:lineRule="auto"/>
      </w:pPr>
      <w:r>
        <w:rPr>
          <w:rFonts w:ascii="Calibri" w:hAnsi="Calibri"/>
          <w:color w:val="110A24"/>
          <w:sz w:val="18"/>
        </w:rPr>
        <w:t>High impact operations enforce role, scope, reason, step up authentication and approval where required.</w:t>
      </w:r>
    </w:p>
    <w:p>
      <w:pPr>
        <w:pStyle w:val="ListBullet"/>
        <w:spacing w:before="0" w:after="60" w:line="250" w:lineRule="auto"/>
      </w:pPr>
      <w:r>
        <w:rPr>
          <w:rFonts w:ascii="Calibri" w:hAnsi="Calibri"/>
          <w:color w:val="110A24"/>
          <w:sz w:val="18"/>
        </w:rPr>
        <w:t>Portfolio dashboards show drillable source records and avoid vanity metrics.</w:t>
      </w:r>
    </w:p>
    <w:p>
      <w:pPr>
        <w:pStyle w:val="ListBullet"/>
        <w:spacing w:before="0" w:after="60" w:line="250" w:lineRule="auto"/>
      </w:pPr>
      <w:r>
        <w:rPr>
          <w:rFonts w:ascii="Calibri" w:hAnsi="Calibri"/>
          <w:color w:val="110A24"/>
          <w:sz w:val="18"/>
        </w:rPr>
        <w:t>Renewal, health, support, deployment and release risks are visible and explainable.</w:t>
      </w:r>
    </w:p>
    <w:p>
      <w:pPr>
        <w:pStyle w:val="ListBullet"/>
        <w:spacing w:before="0" w:after="60" w:line="250" w:lineRule="auto"/>
      </w:pPr>
      <w:r>
        <w:rPr>
          <w:rFonts w:ascii="Calibri" w:hAnsi="Calibri"/>
          <w:color w:val="110A24"/>
          <w:sz w:val="18"/>
        </w:rPr>
        <w:t>Cost and margin metrics show source and methodology, and clearly label estimates.</w:t>
      </w:r>
    </w:p>
    <w:p>
      <w:pPr>
        <w:pStyle w:val="ListBullet"/>
        <w:spacing w:before="0" w:after="60" w:line="250" w:lineRule="auto"/>
      </w:pPr>
      <w:r>
        <w:rPr>
          <w:rFonts w:ascii="Calibri" w:hAnsi="Calibri"/>
          <w:color w:val="110A24"/>
          <w:sz w:val="18"/>
        </w:rPr>
        <w:t>Global search reaches core objects within seconds and respects permissions.</w:t>
      </w:r>
    </w:p>
    <w:p>
      <w:pPr>
        <w:pStyle w:val="ListBullet"/>
        <w:spacing w:before="0" w:after="60" w:line="250" w:lineRule="auto"/>
      </w:pPr>
      <w:r>
        <w:rPr>
          <w:rFonts w:ascii="Calibri" w:hAnsi="Calibri"/>
          <w:color w:val="110A24"/>
          <w:sz w:val="18"/>
        </w:rPr>
        <w:t>Audit can reconstruct privileged actions and authorized exports.</w:t>
      </w:r>
    </w:p>
    <w:p>
      <w:pPr>
        <w:pStyle w:val="ListBullet"/>
        <w:spacing w:before="0" w:after="60" w:line="250" w:lineRule="auto"/>
      </w:pPr>
      <w:r>
        <w:rPr>
          <w:rFonts w:ascii="Calibri" w:hAnsi="Calibri"/>
          <w:color w:val="110A24"/>
          <w:sz w:val="18"/>
        </w:rPr>
        <w:t>Apporine palette, typography and interaction rules are consistent across all screens.</w:t>
      </w:r>
    </w:p>
    <w:p>
      <w:pPr>
        <w:pStyle w:val="ListBullet"/>
        <w:spacing w:before="0" w:after="60" w:line="250" w:lineRule="auto"/>
      </w:pPr>
      <w:r>
        <w:rPr>
          <w:rFonts w:ascii="Calibri" w:hAnsi="Calibri"/>
          <w:color w:val="110A24"/>
          <w:sz w:val="18"/>
        </w:rPr>
        <w:t>Accessibility tests meet the documented target.</w:t>
      </w:r>
    </w:p>
    <w:p>
      <w:pPr>
        <w:pStyle w:val="ListBullet"/>
        <w:spacing w:before="0" w:after="60" w:line="250" w:lineRule="auto"/>
      </w:pPr>
      <w:r>
        <w:rPr>
          <w:rFonts w:ascii="Calibri" w:hAnsi="Calibri"/>
          <w:color w:val="110A24"/>
          <w:sz w:val="18"/>
        </w:rPr>
        <w:t>AWS production deployment is reproducible, uses immutable images and passes security gates.</w:t>
      </w:r>
    </w:p>
    <w:p>
      <w:pPr>
        <w:pStyle w:val="ListBullet"/>
        <w:spacing w:before="0" w:after="60" w:line="250" w:lineRule="auto"/>
      </w:pPr>
      <w:r>
        <w:rPr>
          <w:rFonts w:ascii="Calibri" w:hAnsi="Calibri"/>
          <w:color w:val="110A24"/>
          <w:sz w:val="18"/>
        </w:rPr>
        <w:t>Backup and restore are tested, not only configured.</w:t>
      </w:r>
    </w:p>
    <w:p>
      <w:pPr>
        <w:pStyle w:val="ListBullet"/>
        <w:spacing w:before="0" w:after="60" w:line="250" w:lineRule="auto"/>
      </w:pPr>
      <w:r>
        <w:rPr>
          <w:rFonts w:ascii="Calibri" w:hAnsi="Calibri"/>
          <w:color w:val="110A24"/>
          <w:sz w:val="18"/>
        </w:rPr>
        <w:t>No private signing key exists in code, browser, CI artifact or customer package.</w:t>
      </w:r>
    </w:p>
    <w:p>
      <w:pPr>
        <w:pStyle w:val="ListBullet"/>
        <w:spacing w:before="0" w:after="60" w:line="250" w:lineRule="auto"/>
      </w:pPr>
      <w:r>
        <w:rPr>
          <w:rFonts w:ascii="Calibri" w:hAnsi="Calibri"/>
          <w:color w:val="110A24"/>
          <w:sz w:val="18"/>
        </w:rPr>
        <w:t>Cursor can build the product from this specification without inventing missing core workflows.</w:t>
      </w:r>
    </w:p>
    <w:p>
      <w:pPr>
        <w:pStyle w:val="Heading1"/>
        <w:keepNext/>
      </w:pPr>
      <w:r>
        <w:rPr>
          <w:rFonts w:ascii="Calibri" w:hAnsi="Calibri"/>
          <w:b/>
          <w:color w:val="110A24"/>
          <w:sz w:val="36"/>
        </w:rPr>
        <w:t>45. Benchmark source notes</w:t>
      </w:r>
    </w:p>
    <w:p>
      <w:pPr>
        <w:spacing w:before="0" w:after="100" w:line="259" w:lineRule="auto"/>
      </w:pPr>
      <w:r>
        <w:rPr>
          <w:rFonts w:ascii="Calibri" w:hAnsi="Calibri"/>
          <w:b w:val="0"/>
          <w:i w:val="0"/>
          <w:color w:val="110A24"/>
          <w:sz w:val="19"/>
        </w:rPr>
        <w:t>The benchmark analysis used official product documentation available in October 2026. These sources informed patterns, not copied UI.</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45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Source family</w:t>
            </w:r>
          </w:p>
        </w:tc>
        <w:tc>
          <w:tcPr>
            <w:tcW w:type="dxa" w:w="8496"/>
            <w:shd w:fill="110A24"/>
            <w:tcMar>
              <w:top w:w="90" w:type="dxa"/>
              <w:start w:w="90" w:type="dxa"/>
              <w:bottom w:w="90" w:type="dxa"/>
              <w:end w:w="90" w:type="dxa"/>
            </w:tcMar>
            <w:vAlign w:val="center"/>
          </w:tcPr>
          <w:p>
            <w:pPr>
              <w:spacing w:before="0" w:after="0" w:line="240" w:lineRule="auto"/>
            </w:pPr>
            <w:r>
              <w:rPr>
                <w:rFonts w:ascii="Calibri" w:hAnsi="Calibri"/>
                <w:b/>
                <w:color w:val="FFFFFF"/>
                <w:sz w:val="16"/>
              </w:rPr>
              <w:t>Capability pattern reviewed</w:t>
            </w:r>
          </w:p>
        </w:tc>
      </w:tr>
      <w:tr>
        <w:trPr>
          <w:cantSplit/>
        </w:trPr>
        <w:tc>
          <w:tcPr>
            <w:tcW w:type="dxa" w:w="3456"/>
            <w:tcMar>
              <w:top w:w="90" w:type="dxa"/>
              <w:start w:w="90" w:type="dxa"/>
              <w:bottom w:w="90" w:type="dxa"/>
              <w:end w:w="90" w:type="dxa"/>
            </w:tcMar>
            <w:vAlign w:val="top"/>
          </w:tcPr>
          <w:p>
            <w:pPr>
              <w:spacing w:before="0" w:after="0" w:line="240" w:lineRule="auto"/>
            </w:pPr>
            <w:r>
              <w:rPr>
                <w:rFonts w:ascii="Calibri" w:hAnsi="Calibri"/>
                <w:b w:val="0"/>
                <w:color w:val="110A24"/>
                <w:sz w:val="16"/>
              </w:rPr>
              <w:t>AWS Control Tower and AWS Organizations</w:t>
            </w:r>
          </w:p>
        </w:tc>
        <w:tc>
          <w:tcPr>
            <w:tcW w:type="dxa" w:w="8496"/>
            <w:tcMar>
              <w:top w:w="90" w:type="dxa"/>
              <w:start w:w="90" w:type="dxa"/>
              <w:bottom w:w="90" w:type="dxa"/>
              <w:end w:w="90" w:type="dxa"/>
            </w:tcMar>
            <w:vAlign w:val="top"/>
          </w:tcPr>
          <w:p>
            <w:pPr>
              <w:spacing w:before="0" w:after="0" w:line="240" w:lineRule="auto"/>
            </w:pPr>
            <w:r>
              <w:rPr>
                <w:rFonts w:ascii="Calibri" w:hAnsi="Calibri"/>
                <w:b w:val="0"/>
                <w:color w:val="110A24"/>
                <w:sz w:val="16"/>
              </w:rPr>
              <w:t>Central hierarchy, governance controls, account enrollment, organizational units and drift aware administration.</w:t>
            </w:r>
          </w:p>
        </w:tc>
      </w:tr>
      <w:tr>
        <w:trPr>
          <w:cantSplit/>
        </w:trPr>
        <w:tc>
          <w:tcPr>
            <w:tcW w:type="dxa" w:w="345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GitHub Enterprise</w:t>
            </w:r>
          </w:p>
        </w:tc>
        <w:tc>
          <w:tcPr>
            <w:tcW w:type="dxa" w:w="84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Enterprise audit search, export, API access, streaming and policy governance.</w:t>
            </w:r>
          </w:p>
        </w:tc>
      </w:tr>
      <w:tr>
        <w:trPr>
          <w:cantSplit/>
        </w:trPr>
        <w:tc>
          <w:tcPr>
            <w:tcW w:type="dxa" w:w="3456"/>
            <w:tcMar>
              <w:top w:w="90" w:type="dxa"/>
              <w:start w:w="90" w:type="dxa"/>
              <w:bottom w:w="90" w:type="dxa"/>
              <w:end w:w="90" w:type="dxa"/>
            </w:tcMar>
            <w:vAlign w:val="top"/>
          </w:tcPr>
          <w:p>
            <w:pPr>
              <w:spacing w:before="0" w:after="0" w:line="240" w:lineRule="auto"/>
            </w:pPr>
            <w:r>
              <w:rPr>
                <w:rFonts w:ascii="Calibri" w:hAnsi="Calibri"/>
                <w:b w:val="0"/>
                <w:color w:val="110A24"/>
                <w:sz w:val="16"/>
              </w:rPr>
              <w:t>Stripe Dashboard</w:t>
            </w:r>
          </w:p>
        </w:tc>
        <w:tc>
          <w:tcPr>
            <w:tcW w:type="dxa" w:w="8496"/>
            <w:tcMar>
              <w:top w:w="90" w:type="dxa"/>
              <w:start w:w="90" w:type="dxa"/>
              <w:bottom w:w="90" w:type="dxa"/>
              <w:end w:w="90" w:type="dxa"/>
            </w:tcMar>
            <w:vAlign w:val="top"/>
          </w:tcPr>
          <w:p>
            <w:pPr>
              <w:spacing w:before="0" w:after="0" w:line="240" w:lineRule="auto"/>
            </w:pPr>
            <w:r>
              <w:rPr>
                <w:rFonts w:ascii="Calibri" w:hAnsi="Calibri"/>
                <w:b w:val="0"/>
                <w:color w:val="110A24"/>
                <w:sz w:val="16"/>
              </w:rPr>
              <w:t>Cross resource search, customer centered objects, subscriptions, products and advanced reporting patterns.</w:t>
            </w:r>
          </w:p>
        </w:tc>
      </w:tr>
      <w:tr>
        <w:trPr>
          <w:cantSplit/>
        </w:trPr>
        <w:tc>
          <w:tcPr>
            <w:tcW w:type="dxa" w:w="345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Datadog</w:t>
            </w:r>
          </w:p>
        </w:tc>
        <w:tc>
          <w:tcPr>
            <w:tcW w:type="dxa" w:w="84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Usage attribution, cost visibility, account management, RBAC and audit trail.</w:t>
            </w:r>
          </w:p>
        </w:tc>
      </w:tr>
      <w:tr>
        <w:trPr>
          <w:cantSplit/>
        </w:trPr>
        <w:tc>
          <w:tcPr>
            <w:tcW w:type="dxa" w:w="3456"/>
            <w:tcMar>
              <w:top w:w="90" w:type="dxa"/>
              <w:start w:w="90" w:type="dxa"/>
              <w:bottom w:w="90" w:type="dxa"/>
              <w:end w:w="90" w:type="dxa"/>
            </w:tcMar>
            <w:vAlign w:val="top"/>
          </w:tcPr>
          <w:p>
            <w:pPr>
              <w:spacing w:before="0" w:after="0" w:line="240" w:lineRule="auto"/>
            </w:pPr>
            <w:r>
              <w:rPr>
                <w:rFonts w:ascii="Calibri" w:hAnsi="Calibri"/>
                <w:b w:val="0"/>
                <w:color w:val="110A24"/>
                <w:sz w:val="16"/>
              </w:rPr>
              <w:t>Cloudflare</w:t>
            </w:r>
          </w:p>
        </w:tc>
        <w:tc>
          <w:tcPr>
            <w:tcW w:type="dxa" w:w="8496"/>
            <w:tcMar>
              <w:top w:w="90" w:type="dxa"/>
              <w:start w:w="90" w:type="dxa"/>
              <w:bottom w:w="90" w:type="dxa"/>
              <w:end w:w="90" w:type="dxa"/>
            </w:tcMar>
            <w:vAlign w:val="top"/>
          </w:tcPr>
          <w:p>
            <w:pPr>
              <w:spacing w:before="0" w:after="0" w:line="240" w:lineRule="auto"/>
            </w:pPr>
            <w:r>
              <w:rPr>
                <w:rFonts w:ascii="Calibri" w:hAnsi="Calibri"/>
                <w:b w:val="0"/>
                <w:color w:val="110A24"/>
                <w:sz w:val="16"/>
              </w:rPr>
              <w:t>Scoped account roles, member management, audit analytics and synchronized filters.</w:t>
            </w:r>
          </w:p>
        </w:tc>
      </w:tr>
      <w:tr>
        <w:trPr>
          <w:cantSplit/>
        </w:trPr>
        <w:tc>
          <w:tcPr>
            <w:tcW w:type="dxa" w:w="345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Atlassian Administration</w:t>
            </w:r>
          </w:p>
        </w:tc>
        <w:tc>
          <w:tcPr>
            <w:tcW w:type="dxa" w:w="84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Organization level users, products, billing, data management, security and audit insights.</w:t>
            </w:r>
          </w:p>
        </w:tc>
      </w:tr>
      <w:tr>
        <w:trPr>
          <w:cantSplit/>
        </w:trPr>
        <w:tc>
          <w:tcPr>
            <w:tcW w:type="dxa" w:w="3456"/>
            <w:tcMar>
              <w:top w:w="90" w:type="dxa"/>
              <w:start w:w="90" w:type="dxa"/>
              <w:bottom w:w="90" w:type="dxa"/>
              <w:end w:w="90" w:type="dxa"/>
            </w:tcMar>
            <w:vAlign w:val="top"/>
          </w:tcPr>
          <w:p>
            <w:pPr>
              <w:spacing w:before="0" w:after="0" w:line="240" w:lineRule="auto"/>
            </w:pPr>
            <w:r>
              <w:rPr>
                <w:rFonts w:ascii="Calibri" w:hAnsi="Calibri"/>
                <w:b w:val="0"/>
                <w:color w:val="110A24"/>
                <w:sz w:val="16"/>
              </w:rPr>
              <w:t>Salesforce Setup</w:t>
            </w:r>
          </w:p>
        </w:tc>
        <w:tc>
          <w:tcPr>
            <w:tcW w:type="dxa" w:w="8496"/>
            <w:tcMar>
              <w:top w:w="90" w:type="dxa"/>
              <w:start w:w="90" w:type="dxa"/>
              <w:bottom w:w="90" w:type="dxa"/>
              <w:end w:w="90" w:type="dxa"/>
            </w:tcMar>
            <w:vAlign w:val="top"/>
          </w:tcPr>
          <w:p>
            <w:pPr>
              <w:spacing w:before="0" w:after="0" w:line="240" w:lineRule="auto"/>
            </w:pPr>
            <w:r>
              <w:rPr>
                <w:rFonts w:ascii="Calibri" w:hAnsi="Calibri"/>
                <w:b w:val="0"/>
                <w:color w:val="110A24"/>
                <w:sz w:val="16"/>
              </w:rPr>
              <w:t>Layered permissions, permission management, administrative reports and setup audit trail.</w:t>
            </w:r>
          </w:p>
        </w:tc>
      </w:tr>
      <w:tr>
        <w:trPr>
          <w:cantSplit/>
        </w:trPr>
        <w:tc>
          <w:tcPr>
            <w:tcW w:type="dxa" w:w="345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ServiceNow Customer Service Management</w:t>
            </w:r>
          </w:p>
        </w:tc>
        <w:tc>
          <w:tcPr>
            <w:tcW w:type="dxa" w:w="8496"/>
            <w:shd w:fill="FBFAFC"/>
            <w:tcMar>
              <w:top w:w="90" w:type="dxa"/>
              <w:start w:w="90" w:type="dxa"/>
              <w:bottom w:w="90" w:type="dxa"/>
              <w:end w:w="90" w:type="dxa"/>
            </w:tcMar>
            <w:vAlign w:val="top"/>
          </w:tcPr>
          <w:p>
            <w:pPr>
              <w:spacing w:before="0" w:after="0" w:line="240" w:lineRule="auto"/>
            </w:pPr>
            <w:r>
              <w:rPr>
                <w:rFonts w:ascii="Calibri" w:hAnsi="Calibri"/>
                <w:b w:val="0"/>
                <w:color w:val="110A24"/>
                <w:sz w:val="16"/>
              </w:rPr>
              <w:t>Accounts, contacts, account teams, contracts, entitlements, install base and case management relationships.</w:t>
            </w:r>
          </w:p>
        </w:tc>
      </w:tr>
    </w:tbl>
    <w:p>
      <w:pPr>
        <w:spacing w:after="20"/>
      </w:pPr>
    </w:p>
    <w:tbl>
      <w:tblPr>
        <w:tblW w:type="auto" w:w="0"/>
        <w:jc w:val="center"/>
        <w:tblLook w:firstColumn="1" w:firstRow="1" w:lastColumn="0" w:lastRow="0" w:noHBand="0" w:noVBand="1" w:val="04A0"/>
      </w:tblPr>
      <w:tblGrid>
        <w:gridCol w:w="10368"/>
      </w:tblGrid>
      <w:tr>
        <w:trPr>
          <w:cantSplit/>
          <w:tblHeader/>
        </w:trPr>
        <w:tc>
          <w:tcPr>
            <w:tcW w:type="dxa" w:w="10368"/>
            <w:shd w:fill="EAFDFF"/>
            <w:tcMar>
              <w:top w:w="120" w:type="dxa"/>
              <w:start w:w="160" w:type="dxa"/>
              <w:bottom w:w="120" w:type="dxa"/>
              <w:end w:w="160" w:type="dxa"/>
            </w:tcMar>
            <w:tcBorders>
              <w:left w:val="single" w:sz="18" w:color="05DCE8"/>
            </w:tcBorders>
          </w:tcPr>
          <w:p>
            <w:pPr>
              <w:spacing w:before="0" w:after="40" w:line="240" w:lineRule="auto"/>
            </w:pPr>
            <w:r>
              <w:rPr>
                <w:rFonts w:ascii="Calibri" w:hAnsi="Calibri"/>
                <w:b/>
                <w:color w:val="110A24"/>
                <w:sz w:val="20"/>
              </w:rPr>
              <w:t>Final positioning</w:t>
            </w:r>
          </w:p>
          <w:p>
            <w:pPr>
              <w:spacing w:before="0" w:after="0" w:line="252" w:lineRule="auto"/>
            </w:pPr>
            <w:r>
              <w:rPr>
                <w:rFonts w:ascii="Calibri" w:hAnsi="Calibri"/>
                <w:color w:val="110A24"/>
                <w:sz w:val="18"/>
              </w:rPr>
              <w:t>The Apporine control plane should not imitate any one benchmark. Its differentiation is the combination of multi product customer operations, governed commercial licensing, deployment fleet intelligence, renewal risk, release impact, security evidence and explainable portfolio analytics in one internal system.</w:t>
            </w:r>
          </w:p>
        </w:tc>
      </w:tr>
    </w:tbl>
    <w:p>
      <w:pPr>
        <w:spacing w:after="20"/>
      </w:pPr>
    </w:p>
    <w:p>
      <w:pPr>
        <w:spacing w:before="240" w:after="0" w:line="259" w:lineRule="auto"/>
        <w:jc w:val="center"/>
      </w:pPr>
      <w:r>
        <w:rPr>
          <w:rFonts w:ascii="Calibri" w:hAnsi="Calibri"/>
          <w:b/>
          <w:i w:val="0"/>
          <w:color w:val="6A6476"/>
          <w:sz w:val="17"/>
        </w:rPr>
        <w:t>End of specification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A6476"/>
        <w:sz w:val="15"/>
      </w:rPr>
      <w:t>Apporine Internal Admin Control Plane Specification   |   Version 2.0   |   12 October 2026</w:t>
    </w:r>
  </w:p>
  <w:p>
    <w:pPr>
      <w:jc w:val="right"/>
    </w:pPr>
    <w:r>
      <w:rPr>
        <w:rFonts w:ascii="Calibri" w:hAnsi="Calibri"/>
        <w:color w:val="6A647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A6476"/>
        <w:sz w:val="15"/>
      </w:rPr>
      <w:t>APPORINE   |   INTERNAL CONTROL PLANE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10A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Calibri" w:hAnsi="Calibri"/>
      <w:b/>
      <w:bCs/>
      <w:color w:val="110A24"/>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Calibri" w:hAnsi="Calibri"/>
      <w:b/>
      <w:bCs/>
      <w:color w:val="7040FF"/>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80"/>
      <w:outlineLvl w:val="2"/>
    </w:pPr>
    <w:rPr>
      <w:rFonts w:asciiTheme="majorHAnsi" w:eastAsiaTheme="majorEastAsia" w:hAnsiTheme="majorHAnsi" w:cstheme="majorBidi" w:ascii="Calibri" w:hAnsi="Calibri"/>
      <w:b/>
      <w:bCs/>
      <w:color w:val="110A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0A24"/>
      <w:sz w:val="18"/>
    </w:rPr>
  </w:style>
  <w:style w:type="paragraph" w:styleId="ListBullet2">
    <w:name w:val="List Bullet 2"/>
    <w:basedOn w:val="Normal"/>
    <w:uiPriority w:val="99"/>
    <w:unhideWhenUsed/>
    <w:rsid w:val="00326F90"/>
    <w:pPr>
      <w:numPr>
        <w:numId w:val="2"/>
      </w:numPr>
      <w:contextualSpacing/>
    </w:pPr>
    <w:rPr>
      <w:rFonts w:ascii="Calibri" w:hAnsi="Calibri"/>
      <w:color w:val="110A24"/>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Apporine Internal Admin Control Plane Specification Version 2.0</dc:title>
  <dc:subject>Enterprise multi product customer, licensing, deployment, commercial intelligence, security governance, UI UX and engineering specification</dc:subject>
  <dc:creator>Apporine</dc:creator>
  <cp:keywords>Apporine, admin control plane, licensing, customer operations, enterprise UI UX, AWS</cp:keywords>
  <dc:description>generated by python-docx</dc:description>
  <cp:lastModifiedBy/>
  <cp:revision>1</cp:revision>
  <dcterms:created xsi:type="dcterms:W3CDTF">2013-12-23T23:15:00Z</dcterms:created>
  <dcterms:modified xsi:type="dcterms:W3CDTF">2013-12-23T23:15:00Z</dcterms:modified>
  <cp:category/>
</cp:coreProperties>
</file>