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56"/>
          <w:szCs w:val="56"/>
        </w:rPr>
        <w:t xml:space="preserve">Employer Name Edit in</w:t>
      </w:r>
      <w:r>
        <w:rPr>
          <w:rFonts w:ascii="Arial" w:cs="Arial" w:eastAsia="Arial" w:hAnsi="Arial"/>
          <w:b/>
          <w:bCs/>
          <w:color w:val="3B7EF6"/>
          <w:sz w:val="56"/>
          <w:szCs w:val="56"/>
        </w:rPr>
        <w:br/>
        <w:t xml:space="preserve">Credit Queue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44"/>
          <w:szCs w:val="44"/>
        </w:rPr>
        <w:t xml:space="preserve">V1.0</w:t>
      </w:r>
    </w:p>
    <w:p>
      <w:pPr>
        <w:spacing w:after="20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30 September 2026</w:t>
      </w:r>
    </w:p>
    <w:p>
      <w:pPr>
        <w:spacing w:after="0"/>
        <w:jc w:val="center"/>
      </w:pPr>
      <w:r>
        <w:drawing>
          <wp:inline distT="0" distB="0" distL="0" distR="0">
            <wp:extent cx="1571625" cy="457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3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HISTORY OF CHANGE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83"/>
        <w:gridCol w:w="2166"/>
        <w:gridCol w:w="1986"/>
        <w:gridCol w:w="3791"/>
      </w:tblGrid>
      <w:tr>
        <w:trPr>
          <w:cantSplit/>
          <w:tblHeader/>
        </w:trPr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Version</w:t>
            </w:r>
          </w:p>
        </w:tc>
        <w:tc>
          <w:tcPr>
            <w:tcW w:type="dxa" w:w="216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Author</w:t>
            </w:r>
          </w:p>
        </w:tc>
        <w:tc>
          <w:tcPr>
            <w:tcW w:type="dxa" w:w="3791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1.0</w:t>
            </w:r>
          </w:p>
        </w:tc>
        <w:tc>
          <w:tcPr>
            <w:tcW w:type="dxa" w:w="216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30 September 2026</w:t>
            </w:r>
          </w:p>
        </w:tc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Hailey (Appro)</w:t>
            </w:r>
          </w:p>
        </w:tc>
        <w:tc>
          <w:tcPr>
            <w:tcW w:type="dxa" w:w="3791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Initial version</w:t>
            </w:r>
          </w:p>
        </w:tc>
      </w:tr>
    </w:tbl>
    <w:p>
      <w:pPr>
        <w:spacing w:after="200"/>
      </w:pP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EMPLOYER NAME EDIT IN CREDIT QUEUE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FEATURE OVERVIEW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This document describes the Super Portal capability that allows authorised Credit users to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correct the Employer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of an application while it sits in the Credit Queue. Today the Employer Name is system-derived and locked — from the government employment record (sponsor name) or from the customer input — although it drives the employer classification (ALOC), the related company attributes, the Rule Engine evaluation and the maximum DBR used by limit assignment. A wrong employer name today leaves the Credit user only two options: decide the case on non-listed-company terms, or reject it. Key steps are as following: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Credit user with the 'Edit Employer Name' permission opens the existing Edit Application pop-up in Credit Queue and corrects the Company Name in the Employment Information section (the renamed Length of Service section, now holding both employment fields).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save and confirmation, the system overrides the finalized Employer Name, re-runs the employer classification (ALOC and MOD / MOI / Pensioner flags), recalculates the related fields and re-runs the Rule Engine.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application details display the updated name, the re-classified result and a full original → updated trail; every downstream consumer of the Employer Name reads the corrected value.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124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Applicable products: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CC, PL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.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(CASA is excluded — it has no credit decisioning; Mortgage Loan and Auto Loan are not yet part of the platform scope.)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Product Type</w:t>
            </w:r>
          </w:p>
        </w:tc>
        <w:tc>
          <w:tcPr>
            <w:tcW w:type="dxa" w:w="704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Applicable Status where the Employer Name can be edited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CC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PL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</w:tbl>
    <w:p>
      <w:pPr>
        <w:spacing w:after="16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edit shall be restricted in below scenarios: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Scenario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Condition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waiting for income verification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application is pending the income retrigger — Edit is disabled as today.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locked by another request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recalculation or Rule Engine run is in progress — 'The Application is in another request processing.'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 without the permission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Employer Name' = FALSE — the section is hidden; a role with all Edit permissions FALSE does not see the Edit button.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not in Credit Queue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Enquiry and the Risk / Compliance / Sale queues remain view only.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END-TO-END EMPLOYER NAME EDIT FLOW FROM SUPER PORTAL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Role Management: Edit Employer Name Permission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new role permission 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'Edit Employer Name'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shall be added to the Editor group of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L1, L2 and L3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under the Manually Queue section of Role Management — per product tab ([Credit Card] / [Personal Loan]), listed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immediately before 'Edit Length of Service'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and with the same product-tab treatment.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SC1: Add Role screen: Manually Queue &gt; Credit Queue &gt; 'Edit Employer Name' permission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Permission Value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Allowed Actions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TRUE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Users can view and update the Employment Information section of the Edit Application pop-up for that product.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FALSE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Employment Information section is hidden. A role with all Edit permissions FALSE does not see the Edit button.</w:t>
            </w:r>
          </w:p>
        </w:tc>
      </w:tr>
    </w:tbl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The permission is a distinct right — never bundled with Evaluate Application or Send Application, and it stays separate from 'Edit Length of Service' although both fields sit in the one Employment Information section: each permission governs its own field. The Permission Matrix reference page shall be updated.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Employer Name edit from Credit Queue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existing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Edit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button on the Credit Queue Application Details screen is the entry point. In the Edit Application pop-up, the existing "Length of Service" section is renamed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and holds both employment fields — the new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Company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followed by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Length Of Service (Months)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(existing, unchanged). Pop-up order: Application Details → Other Income And Expenses → Liability Info → Employment Information.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SC2: Credit Queue — Application Details, Edit entry point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SC3: Edit Application pop-up — Employment Information section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444"/>
        <w:gridCol w:w="1083"/>
        <w:gridCol w:w="1444"/>
        <w:gridCol w:w="1083"/>
        <w:gridCol w:w="3972"/>
      </w:tblGrid>
      <w:tr>
        <w:trPr>
          <w:cantSplit/>
          <w:tblHeader/>
        </w:trPr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Mandatory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Editable</w:t>
            </w:r>
          </w:p>
        </w:tc>
        <w:tc>
          <w:tcPr>
            <w:tcW w:type="dxa" w:w="397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Employment Information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Section bar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Renamed from 'Length of Service' — same style and position. Shown when 'Edit Length of Service' or 'Edit Employer Name' is TRUE; each field displays per its own permission.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Input field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field, governed by 'Edit Employer Name'. Pre-populated with the current finalized Employer Name. Validation as the customer journey field: alphabetic characters only; maximum 200 characters; blank not allowed. An unchanged value on Save does not trigger the re-run.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Clear All / Cancel / Save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Existing controls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Unchanged behaviour: Clear All reloads the stored values; Cancel closes without saving; Save is disabled until a value changes.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Impact of saving the updated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When the user clicks Save, the existing Edit confirmation component is shown once for the whole pop-up — one generic message, not specific to any edited field (centered message, No / Yes, Save buttons):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'Are you sure you want to update this &lt;Application ID&gt;? The system will automatically recalculate the related fields and re-run the Rule Engine.'</w:t>
      </w:r>
    </w:p>
    <w:p>
      <w:pPr>
        <w:spacing w:after="60" w:before="120"/>
        <w:jc w:val="center"/>
      </w:pPr>
      <w:r>
        <w:drawing>
          <wp:inline distT="0" distB="0" distL="0" distR="0">
            <wp:extent cx="2952750" cy="2171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SC4: Confirmation before the re-run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'Yes, Save', the system executes in order: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542"/>
        <w:gridCol w:w="8484"/>
      </w:tblGrid>
      <w:tr>
        <w:trPr>
          <w:cantSplit/>
          <w:tblHeader/>
        </w:trPr>
        <w:tc>
          <w:tcPr>
            <w:tcW w:type="dxa" w:w="54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848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System action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 the finalized Employer Name with the input. The first system-derived value is kept as the Original Employer Name together with its original classification. Source is recorded as 'Credit Department' with Updated By / Updated On. The government-record and customer-journey source data are not modified.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employer classification: match the new name against the Empaneled Company list — listed company → ALOC with its category, sector, industry and contact fields; otherwise N-ALOC. Re-evaluate the MOD / MOI / Pensioner flags.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Recalculate the calculated variables and the limit assignment — the classification drives the maximum DBR and the income-multiplier group.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Rule Engine (segmentation, filtration, deviation) on the currently published versions. The existing shared re-run counter applies — the same rule as every edit action that re-triggers the Rule Engine (Edit Information, Re-fetch ECB, Retrigger FTS): if the application fails the Rule Engine more than 2 times in total, the system rejects it. Existing platform behaviour, unchanged by this feature.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Route the application per the standard routing logic. The status stays 'Awaiting Credit Approval' unless the routing changes it — no new Application Status, no mobile-app impact.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trail: Step = 'Edit Information'; Step Detail = 'Employer Name updated from "&lt;old&gt;" (Source: &lt;old source&gt;) to "&lt;new&gt;". ALOC updated from &lt;original ALOC&gt; to &lt;updated ALOC&gt;.'; Action by = user email. This step is the traceability record — the old → new trail lives in the application history, not in the Application Details display.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Loading screen up to 15 seconds; the application is locked during the run ('The Application is in another request processing.').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Toaster 'Application "&lt;Application ID&gt;" is updated successfully!'; the Application Details, Rule Engine Result and Approve Limit Result sections reload.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Several sections edited in one Save → the recalculation and the Rule Engine run once, after all values are stored.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No cap on repeat edits; the Original Employer Name is set once and never overwritten.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Display after the update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fields below sit in the expanded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Details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section ›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sub-block of the application view.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Details displays details only — no trail block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; the old → new trail lives in the Application Enquiry application history (section 3, step 6). The same section is shown, reading the finalized value, in every view that renders it: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L1–L3, Risk Queue, Sale Queue, Compliance Queue, Termination Queue, Disbursement Maker / Checker and Application Enquiry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(all view only):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SC5: Application Details — Employment Information after the update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type="dxa" w:w="5957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Value after the edit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finalized Employer Name — the value the system uses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(new)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EFR (Sponsor Name) | Customer Journey | Credit Department (after an edit). AECB is not a source of the finalized Employer Name — the AECB employment-history name is used only for the cross-match inside the Length of Service logic (verified).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ALOC / Pensioner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Re-classified result in the live display format: Yes | No (&lt;match %&gt;)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Repeat edits: every edit writes its own Edit Information step — the application history carries the full trail.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Enquiry impact: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the enquiry details display the updated values identically in the same Application Details section, and its Application History shows the 'Edit Information' step with the old → new values in the step details, followed by the system steps of the re-run. No edit is possible from Application Enquiry.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SC6: Application Enquiry — application history with the Edit Information step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Downstream consumers of the corrected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After the edit, every consumer of the Employer Name reads the corrected finalized value: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888"/>
        <w:gridCol w:w="6138"/>
      </w:tblGrid>
      <w:tr>
        <w:trPr>
          <w:cantSplit/>
          <w:tblHeader/>
        </w:trPr>
        <w:tc>
          <w:tcPr>
            <w:tcW w:type="dxa" w:w="288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Consumer</w:t>
            </w:r>
          </w:p>
        </w:tc>
        <w:tc>
          <w:tcPr>
            <w:tcW w:type="dxa" w:w="613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Behaviour after the edit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— every view that renders it (Credit / Risk / Sale / Compliance queues, Termination Queue, Disbursement Maker / Checker, Application Enquiry)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name and re-classified ALOC — section 4. No change needed per view: they all read the finalized value.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CAM report + Affordability Assessment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Regenerated on the edit, carrying the updated name, classification and recalculated results.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regenerated — it remains the record of what the customer submitted at OTP time.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Document Stack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Generated after the decision — carries the updated value automatically.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Core banking (CIF creation)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impact — the CIF mapping carries no Employer Name.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AML screening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re-screening on the edit; the corrected name reaches the screening system through the post-decision CIF-update call.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Length of Service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re-run — it has its own edit section.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communication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None — the customer is not notified of the correction.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Summary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722"/>
        <w:gridCol w:w="1805"/>
        <w:gridCol w:w="3610"/>
        <w:gridCol w:w="2889"/>
      </w:tblGrid>
      <w:tr>
        <w:trPr>
          <w:cantSplit/>
          <w:tblHeader/>
        </w:trPr>
        <w:tc>
          <w:tcPr>
            <w:tcW w:type="dxa" w:w="72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180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361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Action</w:t>
            </w:r>
          </w:p>
        </w:tc>
        <w:tc>
          <w:tcPr>
            <w:tcW w:type="dxa" w:w="288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 (with permission)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Opens Edit on a Credit Queue application and corrects the Company Name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Save enabled once the value changes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Confirms the update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 actions of section 3 execute in order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Overrides the finalized name, re-classifies, recalculates, re-runs the Rule Engine and routes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Status stays 'Awaiting Credit Approval' unless routing changes it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Refreshes the view and writes the audit trail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details, original → updated trail, history step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Decides the case on the corrected employer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Approve / override / reject on the true classification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ADDITIONAL IMPACT ANALYSIS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Beyond the direct scope above, the following areas of the Reem Bank platform are impacted and must be carried into estimation and test scope: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715"/>
        <w:gridCol w:w="4062"/>
        <w:gridCol w:w="3249"/>
      </w:tblGrid>
      <w:tr>
        <w:trPr>
          <w:cantSplit/>
          <w:tblHeader/>
        </w:trPr>
        <w:tc>
          <w:tcPr>
            <w:tcW w:type="dxa" w:w="171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Area</w:t>
            </w:r>
          </w:p>
        </w:tc>
        <w:tc>
          <w:tcPr>
            <w:tcW w:type="dxa" w:w="406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Impact</w:t>
            </w:r>
          </w:p>
        </w:tc>
        <w:tc>
          <w:tcPr>
            <w:tcW w:type="dxa" w:w="324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Screen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Role Management / Permission Matrix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permission 'Edit Employer Name' on Credit Queue L1–L3 (Editor group, per product tab). A distinct right, never bundled. Permission Matrix page updated.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476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Role Management › Credit Queue (SC1)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Edit Application pop-up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Employment Information section with the single Company Name field and customer-journey validation.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1907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Edit Application › Employment Information (SC3)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Employer classification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classification step becomes re-runnable on demand for one application with a user-provided name; it overwrites the previous results atomically.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Confirmation before the re-run (SC4)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Rule Engine &amp; Limit Assignment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on the new classification against the currently published versions; shared re-run counter; recalculation of calculated variables and approved limit.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0191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Rule Engine — published strategies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display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row on every view rendering the section (queues including Termination / Disbursement, Application Enquiry); classification fields refreshed. No trail block — the trail is in the application history only.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819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Details › Employment Information (SC5)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Information' step with a dynamic old → new step detail; the re-run steps log with Action by = System.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history (SC6)</w:t>
            </w:r>
          </w:p>
        </w:tc>
      </w:tr>
    </w:tbl>
    <w:p>
      <w:r>
        <w:br w:type="page"/>
      </w:r>
    </w:p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400"/>
        <w:jc w:val="center"/>
      </w:pPr>
      <w:r>
        <w:rPr>
          <w:rFonts w:ascii="Arial" w:cs="Arial" w:eastAsia="Arial" w:hAnsi="Arial"/>
          <w:color w:val="3B7EF6"/>
          <w:sz w:val="72"/>
          <w:szCs w:val="72"/>
        </w:rPr>
        <w:t xml:space="preserve">THANK YOU</w:t>
      </w:r>
    </w:p>
    <w:p>
      <w:pPr>
        <w:spacing w:after="0"/>
        <w:jc w:val="center"/>
      </w:pPr>
      <w:r>
        <w:drawing>
          <wp:inline distT="0" distB="0" distL="0" distR="0">
            <wp:extent cx="1905000" cy="5524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50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64"/>
      <w:gridCol w:w="1354"/>
      <w:gridCol w:w="2708"/>
    </w:tblGrid>
    <w:tr>
      <w:tc>
        <w:tcPr>
          <w:tcW w:type="dxa" w:w="4964"/>
          <w:vAlign w:val="center"/>
        </w:tcPr>
        <w:p>
          <w:pPr>
            <w:spacing w:after="0" w:before="0" w:line="216"/>
          </w:pP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t xml:space="preserve">This is not a legally binding document</w:t>
          </w: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br/>
            <w:t xml:space="preserve">Highly confidential not to be shared without written consent</w:t>
          </w:r>
        </w:p>
      </w:tc>
      <w:tc>
        <w:tcPr>
          <w:tcW w:type="dxa" w:w="1354"/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color w:val="000000"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2708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14400" cy="180975"/>
                <wp:effectExtent t="0" r="0" b="0" l="0"/>
                <wp:docPr id="2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13"/>
      <w:gridCol w:w="4513"/>
    </w:tblGrid>
    <w:tr>
      <w:tc>
        <w:tcPr>
          <w:tcW w:type="dxa" w:w="4513"/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color w:val="000000"/>
              <w:sz w:val="18"/>
              <w:szCs w:val="18"/>
            </w:rPr>
            <w:t xml:space="preserve">Confidential</w:t>
          </w:r>
        </w:p>
      </w:tc>
      <w:tc>
        <w:tcPr>
          <w:tcW w:type="dxa" w:w="4513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52500" cy="285750"/>
                <wp:effectExtent t="0" r="0" b="0" l="0"/>
                <wp:docPr id="20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f7f58707dd27c556f85cbf2c7925f29658baa0d.png"/><Relationship Id="rId10" Type="http://schemas.openxmlformats.org/officeDocument/2006/relationships/image" Target="media/ee85f6ba4ac8e38a12e73211a55e1c42fbc8f1f6.png"/><Relationship Id="rId11" Type="http://schemas.openxmlformats.org/officeDocument/2006/relationships/image" Target="media/b277ccb406c856a7fa3dde452918104f11aad811.png"/><Relationship Id="rId12" Type="http://schemas.openxmlformats.org/officeDocument/2006/relationships/image" Target="media/0f143d1722c3167a83a9d5411fbfc67787ac9cde.png"/><Relationship Id="rId13" Type="http://schemas.openxmlformats.org/officeDocument/2006/relationships/image" Target="media/e83252edad1cc8d0b76827c17f093d915667c324.png"/><Relationship Id="rId14" Type="http://schemas.openxmlformats.org/officeDocument/2006/relationships/image" Target="media/a129e0adf99c4f793f8ca8f4187c20de032f5d54.png"/><Relationship Id="rId15" Type="http://schemas.openxmlformats.org/officeDocument/2006/relationships/image" Target="media/16b98cad15d7726f3a8b30e1002528abb4174cca.png"/><Relationship Id="rId16" Type="http://schemas.openxmlformats.org/officeDocument/2006/relationships/image" Target="media/ad071a559a6c9c0623b0a795fffb0db639cb6f90.png"/><Relationship Id="rId17" Type="http://schemas.openxmlformats.org/officeDocument/2006/relationships/image" Target="media/035d13d98c5fe5039696c98634bae171058c0b3e.png"/><Relationship Id="rId18" Type="http://schemas.openxmlformats.org/officeDocument/2006/relationships/image" Target="media/8853feaded91c59f732e224759264bca6eddbd86.png"/><Relationship Id="rId19" Type="http://schemas.openxmlformats.org/officeDocument/2006/relationships/image" Target="media/af6baa41b51840fe23ba87a7136630b9a40491ad.png"/><Relationship Id="rId20" Type="http://schemas.openxmlformats.org/officeDocument/2006/relationships/image" Target="media/9a57f64bed8d46f31af9de485ceecef9022283ce.png"/><Relationship Id="rId21" Type="http://schemas.openxmlformats.org/officeDocument/2006/relationships/image" Target="media/d6aad7696761111ee541c15901235b333ec66f43.png"/><Relationship Id="rId22" Type="http://schemas.openxmlformats.org/officeDocument/2006/relationships/image" Target="media/550b229c093d01e880e3d39f3fcac48d21e3f1e8.png"/><Relationship Id="rId23" Type="http://schemas.openxmlformats.org/officeDocument/2006/relationships/image" Target="media/1c95c4cb28e315e7f80444edce98f06a69bac8fb.png"/><Relationship Id="rId24" Type="http://schemas.openxmlformats.org/officeDocument/2006/relationships/image" Target="media/0c051ad4359cbecc92709f2685c00afa036599d2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1e03be648ff4188e6db5e1ce2152e7598743b22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5f7e94444dc47aed53453246ef11472da2b80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Employer Name Edit in Credit Queue V1.0</dc:title>
  <dc:creator>Appro</dc:creator>
  <cp:lastModifiedBy>Un-named</cp:lastModifiedBy>
  <cp:revision>1</cp:revision>
  <dcterms:created xsi:type="dcterms:W3CDTF">2026-09-30T04:22:46.143Z</dcterms:created>
  <dcterms:modified xsi:type="dcterms:W3CDTF">2026-09-30T04:22:46.143Z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