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200"/>
        <w:jc w:val="center"/>
      </w:pPr>
      <w:r>
        <w:rPr>
          <w:rFonts w:ascii="Arial" w:cs="Arial" w:eastAsia="Arial" w:hAnsi="Arial"/>
          <w:b/>
          <w:bCs/>
          <w:color w:val="3B7EF6"/>
          <w:sz w:val="44"/>
          <w:szCs w:val="44"/>
        </w:rPr>
        <w:t xml:space="preserve">V1.0</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returns to its target queue.</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(DBR safety nets, segmentation failure, approved limit below Min Boundary). Compliance, Risk and Sale queue rejections are </w:t>
      </w:r>
      <w:r>
        <w:rPr>
          <w:rFonts w:ascii="Arial" w:cs="Arial" w:eastAsia="Arial" w:hAnsi="Arial"/>
          <w:b/>
          <w:bCs/>
          <w:color w:val="000000"/>
          <w:sz w:val="22"/>
          <w:szCs w:val="22"/>
        </w:rPr>
        <w:t xml:space="preserve">out of scope</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r>
        <w:br w:type="page"/>
      </w:r>
    </w:p>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Re-entry is always at </w:t>
      </w:r>
      <w:r>
        <w:rPr>
          <w:rFonts w:ascii="Arial" w:cs="Arial" w:eastAsia="Arial" w:hAnsi="Arial"/>
          <w:b/>
          <w:bCs/>
          <w:color w:val="000000"/>
          <w:sz w:val="22"/>
          <w:szCs w:val="22"/>
        </w:rPr>
        <w:t xml:space="preserve">Level 1</w:t>
      </w:r>
      <w:r>
        <w:rPr>
          <w:rFonts w:ascii="Arial" w:cs="Arial" w:eastAsia="Arial" w:hAnsi="Arial"/>
          <w:b w:val="false"/>
          <w:bCs w:val="false"/>
          <w:color w:val="000000"/>
          <w:sz w:val="22"/>
          <w:szCs w:val="22"/>
        </w:rPr>
        <w:t xml:space="preserve"> of the target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&lt;TARGET_QUEUE&gt;.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 </w:t>
      </w:r>
      <w:r>
        <w:rPr>
          <w:rFonts w:ascii="Arial" w:cs="Arial" w:eastAsia="Arial" w:hAnsi="Arial"/>
          <w:b/>
          <w:bCs/>
          <w:color w:val="000000"/>
          <w:sz w:val="22"/>
          <w:szCs w:val="22"/>
        </w:rPr>
        <w:t xml:space="preserve">&lt;TARGET_STATUS&gt;</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&lt;TARGET_QUEUE&gt;</w:t>
      </w:r>
      <w:r>
        <w:rPr>
          <w:rFonts w:ascii="Arial" w:cs="Arial" w:eastAsia="Arial" w:hAnsi="Arial"/>
          <w:b w:val="false"/>
          <w:bCs w:val="false"/>
          <w:color w:val="000000"/>
          <w:sz w:val="22"/>
          <w:szCs w:val="22"/>
        </w:rPr>
        <w:t xml:space="preserve"> at Level 1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&lt;TARGET_STATUS&gt;, Step Detail = 'Application revert requested by “%Username%” and approved by “%Username%”. Application returned to &lt;TARGET_QUEUE&gt;',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has been returned to %%TARGET_STATUS%%.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returned to &lt;TARGET_STATUS&gt; in &lt;TARGET_QUEUE&gt;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The application returns to &lt;TARGET_STATUS&gt; in &lt;TARGET_QUEUE&gt; at Level 1, Revert_App = FALSE, and it is removed from the Revert Queue. Audit trail is captured with: Step = ‘Auto Revert Approval on timeout’, State = &lt;TARGET_STATUS&gt;, Step Detail = ‘Application revert requested by “%Username%” and approved by System, as per approval timeout configuration of [X] days. Application returned to &lt;TARGET_QUEUE&gt;’,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The customer is informed only when the re-assessment completes: on approval, the customer receives the approval communication below — the same message as a normally approved application; on a repeat rejection, the standard rejection notification applies and the 30-day window restarts.</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(Customer)</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approved after re-assessment. New Customer-type template in Communication Setup, mirroring the standard approval message.</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the target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the target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on approval the customer receives the approval communication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 each writing the full standard field set. The original rejection record is never modified.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Two new Bank-type email templates per product (revert approved / not approved) plus one new Customer-type template — approval after re-assessment, mirroring the standard approval message (section 6). English, banking tone, signing off as Reem Bank. The Compliance / Risk reject confirmation texts stay as they are — those rejections remain non-revertible.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r>
        <w:br w:type="page"/>
      </w:r>
    </w:p>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cancellation.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3376802f16dc596ac0284fe2f2fd5c7c92ab20db.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2026-09-18T05:57:23.022Z</dcterms:created>
  <dcterms:modified xsi:type="dcterms:W3CDTF">2026-09-18T05:57:23.023Z</dcterms:modified>
</cp:coreProperties>
</file>

<file path=docProps/custom.xml><?xml version="1.0" encoding="utf-8"?>
<Properties xmlns="http://schemas.openxmlformats.org/officeDocument/2006/custom-properties" xmlns:vt="http://schemas.openxmlformats.org/officeDocument/2006/docPropsVTypes"/>
</file>