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inline distT="0" distB="0" distL="0" distR="0">
            <wp:extent cx="1619250" cy="971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300"/>
      </w:pP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3B7EF6"/>
          <w:sz w:val="56"/>
          <w:szCs w:val="56"/>
        </w:rPr>
        <w:t xml:space="preserve">Employer Name Edit in</w:t>
      </w:r>
      <w:r>
        <w:rPr>
          <w:rFonts w:ascii="Arial" w:cs="Arial" w:eastAsia="Arial" w:hAnsi="Arial"/>
          <w:b/>
          <w:bCs/>
          <w:color w:val="3B7EF6"/>
          <w:sz w:val="56"/>
          <w:szCs w:val="56"/>
        </w:rPr>
        <w:br/>
        <w:t xml:space="preserve">Credit Queue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3B7EF6"/>
          <w:sz w:val="44"/>
          <w:szCs w:val="44"/>
        </w:rPr>
        <w:t xml:space="preserve">V1.0</w:t>
      </w:r>
    </w:p>
    <w:p>
      <w:pPr>
        <w:spacing w:after="200"/>
        <w:jc w:val="center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30 September 2026</w:t>
      </w:r>
    </w:p>
    <w:p>
      <w:pPr>
        <w:spacing w:after="0"/>
        <w:jc w:val="center"/>
      </w:pPr>
      <w:r>
        <w:drawing>
          <wp:inline distT="0" distB="0" distL="0" distR="0">
            <wp:extent cx="1571625" cy="4572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300"/>
      </w:pPr>
    </w:p>
    <w:p>
      <w:pPr>
        <w:spacing w:after="60" w:before="0"/>
        <w:jc w:val="center"/>
      </w:pPr>
      <w:r>
        <w:rPr>
          <w:rFonts w:ascii="Arial" w:cs="Arial" w:eastAsia="Arial" w:hAnsi="Arial"/>
          <w:b w:val="false"/>
          <w:bCs w:val="false"/>
          <w:color w:val="000000"/>
          <w:sz w:val="19"/>
          <w:szCs w:val="19"/>
        </w:rPr>
        <w:t xml:space="preserve">This is not a legally binding document</w:t>
      </w:r>
    </w:p>
    <w:p>
      <w:pPr>
        <w:spacing w:after="60" w:before="0"/>
        <w:jc w:val="center"/>
      </w:pPr>
      <w:r>
        <w:rPr>
          <w:rFonts w:ascii="Arial" w:cs="Arial" w:eastAsia="Arial" w:hAnsi="Arial"/>
          <w:b w:val="false"/>
          <w:bCs w:val="false"/>
          <w:color w:val="000000"/>
          <w:sz w:val="19"/>
          <w:szCs w:val="19"/>
        </w:rPr>
        <w:t xml:space="preserve">Highly confidential not to be shared without written consent</w:t>
      </w:r>
    </w:p>
    <w:p>
      <w:pPr>
        <w:spacing w:after="200"/>
      </w:pPr>
    </w:p>
    <w:p>
      <w:pPr>
        <w:spacing w:after="0"/>
        <w:jc w:val="center"/>
      </w:pPr>
      <w:r>
        <w:drawing>
          <wp:inline distT="0" distB="0" distL="0" distR="0">
            <wp:extent cx="5715000" cy="6762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HISTORY OF CHANGE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083"/>
        <w:gridCol w:w="2166"/>
        <w:gridCol w:w="1986"/>
        <w:gridCol w:w="3791"/>
      </w:tblGrid>
      <w:tr>
        <w:trPr>
          <w:cantSplit/>
          <w:tblHeader/>
        </w:trPr>
        <w:tc>
          <w:tcPr>
            <w:tcW w:type="dxa" w:w="1083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Version</w:t>
            </w:r>
          </w:p>
        </w:tc>
        <w:tc>
          <w:tcPr>
            <w:tcW w:type="dxa" w:w="2166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Date</w:t>
            </w:r>
          </w:p>
        </w:tc>
        <w:tc>
          <w:tcPr>
            <w:tcW w:type="dxa" w:w="1986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Author</w:t>
            </w:r>
          </w:p>
        </w:tc>
        <w:tc>
          <w:tcPr>
            <w:tcW w:type="dxa" w:w="3791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083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1.0</w:t>
            </w:r>
          </w:p>
        </w:tc>
        <w:tc>
          <w:tcPr>
            <w:tcW w:type="dxa" w:w="2166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30 September 2026</w:t>
            </w:r>
          </w:p>
        </w:tc>
        <w:tc>
          <w:tcPr>
            <w:tcW w:type="dxa" w:w="1986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Hailey (Appro)</w:t>
            </w:r>
          </w:p>
        </w:tc>
        <w:tc>
          <w:tcPr>
            <w:tcW w:type="dxa" w:w="3791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Initial version</w:t>
            </w:r>
          </w:p>
        </w:tc>
      </w:tr>
    </w:tbl>
    <w:p>
      <w:pPr>
        <w:spacing w:after="200"/>
      </w:pP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EMPLOYER NAME EDIT IN CREDIT QUEUE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FEATURE OVERVIEW</w:t>
      </w:r>
    </w:p>
    <w:p>
      <w:pPr>
        <w:spacing w:after="120" w:before="4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This document describes the Super Portal capability that allows authorised Credit users to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correct the Employer Name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of an application while it sits in the Credit Queue. Today the Employer Name is system-derived and locked — from the government employment record (sponsor name) or from the customer input — although it drives the employer classification (ALOC), the related company attributes, the Rule Engine evaluation and the maximum DBR used by limit assignment. A wrong employer name today leaves the Credit user only two options: decide the case on non-listed-company terms, or reject it. Key steps are as following:</w:t>
      </w: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Credit user with the 'Edit Employer Name' permission opens the existing Edit Application pop-up in Credit Queue and corrects the Company Name in the Employment Information section (the renamed Length of Service section, now holding both employment fields).</w:t>
      </w: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On save and confirmation, the system overrides the finalized Employer Name, re-runs the employer classification (ALOC and MOD / MOI / Pensioner flags), recalculates the related fields and re-runs the Rule Engine.</w:t>
      </w: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The application details display the updated name, the re-classified result and a full original → updated trail; every downstream consumer of the Employer Name reads the corrected value.</w:t>
      </w:r>
    </w:p>
    <w:p>
      <w:pPr>
        <w:spacing w:after="60" w:before="200"/>
        <w:jc w:val="center"/>
      </w:pPr>
      <w:r>
        <w:drawing>
          <wp:inline distT="0" distB="0" distL="0" distR="0">
            <wp:extent cx="5715000" cy="21240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pPr>
        <w:spacing w:after="120" w:before="4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Applicable products: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CC, PL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. </w:t>
      </w:r>
      <w:r>
        <w:rPr>
          <w:rFonts w:ascii="Arial" w:cs="Arial" w:eastAsia="Arial" w:hAnsi="Arial"/>
          <w:i/>
          <w:iCs/>
          <w:color w:val="000000"/>
          <w:sz w:val="22"/>
          <w:szCs w:val="22"/>
        </w:rPr>
        <w:t xml:space="preserve">(CASA is excluded — it has no credit decisioning; Mortgage Loan and Auto Loan are not yet part of the platform scope.)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986"/>
        <w:gridCol w:w="7040"/>
      </w:tblGrid>
      <w:tr>
        <w:trPr>
          <w:cantSplit/>
          <w:tblHeader/>
        </w:trPr>
        <w:tc>
          <w:tcPr>
            <w:tcW w:type="dxa" w:w="1986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Product Type</w:t>
            </w:r>
          </w:p>
        </w:tc>
        <w:tc>
          <w:tcPr>
            <w:tcW w:type="dxa" w:w="7040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Applicable Status where the Employer Name can be edited</w:t>
            </w:r>
          </w:p>
        </w:tc>
      </w:tr>
      <w:tr>
        <w:trPr>
          <w:cantSplit/>
        </w:trPr>
        <w:tc>
          <w:tcPr>
            <w:tcW w:type="dxa" w:w="1986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CC</w:t>
            </w:r>
          </w:p>
        </w:tc>
        <w:tc>
          <w:tcPr>
            <w:tcW w:type="dxa" w:w="704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Credit Queue L1 / L2 / L3 — Application Status 'Awaiting Credit Approval'</w:t>
            </w:r>
          </w:p>
        </w:tc>
      </w:tr>
      <w:tr>
        <w:trPr>
          <w:cantSplit/>
        </w:trPr>
        <w:tc>
          <w:tcPr>
            <w:tcW w:type="dxa" w:w="1986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PL</w:t>
            </w:r>
          </w:p>
        </w:tc>
        <w:tc>
          <w:tcPr>
            <w:tcW w:type="dxa" w:w="704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Credit Queue L1 / L2 / L3 — Application Status 'Awaiting Credit Approval'</w:t>
            </w:r>
          </w:p>
        </w:tc>
      </w:tr>
    </w:tbl>
    <w:p>
      <w:pPr>
        <w:spacing w:after="160"/>
      </w:pPr>
    </w:p>
    <w:p>
      <w:pPr>
        <w:spacing w:after="120" w:before="4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The edit shall be restricted in below scenarios: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708"/>
        <w:gridCol w:w="6318"/>
      </w:tblGrid>
      <w:tr>
        <w:trPr>
          <w:cantSplit/>
          <w:tblHeader/>
        </w:trPr>
        <w:tc>
          <w:tcPr>
            <w:tcW w:type="dxa" w:w="2708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Scenario</w:t>
            </w:r>
          </w:p>
        </w:tc>
        <w:tc>
          <w:tcPr>
            <w:tcW w:type="dxa" w:w="6318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Condition</w:t>
            </w:r>
          </w:p>
        </w:tc>
      </w:tr>
      <w:tr>
        <w:trPr>
          <w:cantSplit/>
        </w:trPr>
        <w:tc>
          <w:tcPr>
            <w:tcW w:type="dxa" w:w="270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Application waiting for income verification</w:t>
            </w:r>
          </w:p>
        </w:tc>
        <w:tc>
          <w:tcPr>
            <w:tcW w:type="dxa" w:w="631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The application is pending the income retrigger — Edit is disabled as today.</w:t>
            </w:r>
          </w:p>
        </w:tc>
      </w:tr>
      <w:tr>
        <w:trPr>
          <w:cantSplit/>
        </w:trPr>
        <w:tc>
          <w:tcPr>
            <w:tcW w:type="dxa" w:w="270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Application locked by another request</w:t>
            </w:r>
          </w:p>
        </w:tc>
        <w:tc>
          <w:tcPr>
            <w:tcW w:type="dxa" w:w="631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 recalculation or Rule Engine run is in progress — 'The Application is in another request processing.'</w:t>
            </w:r>
          </w:p>
        </w:tc>
      </w:tr>
      <w:tr>
        <w:trPr>
          <w:cantSplit/>
        </w:trPr>
        <w:tc>
          <w:tcPr>
            <w:tcW w:type="dxa" w:w="270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User without the permission</w:t>
            </w:r>
          </w:p>
        </w:tc>
        <w:tc>
          <w:tcPr>
            <w:tcW w:type="dxa" w:w="631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'Edit Employer Name' = FALSE — the section is hidden; a role with all Edit permissions FALSE does not see the Edit button.</w:t>
            </w:r>
          </w:p>
        </w:tc>
      </w:tr>
      <w:tr>
        <w:trPr>
          <w:cantSplit/>
        </w:trPr>
        <w:tc>
          <w:tcPr>
            <w:tcW w:type="dxa" w:w="270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Application not in Credit Queue</w:t>
            </w:r>
          </w:p>
        </w:tc>
        <w:tc>
          <w:tcPr>
            <w:tcW w:type="dxa" w:w="631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Application Enquiry and the Risk / Compliance / Sale queues remain view only.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END-TO-END EMPLOYER NAME EDIT FLOW FROM SUPER PORTAL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1. Role Management: Edit Employer Name Permission</w:t>
      </w: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A new role permission named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'Edit Employer Name'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shall be added to the Editor group of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Credit Queue L1, L2 and L3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under the Manually Queue section of Role Management —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no product classification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: one permission per queue level, per the live Role Management design — listed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immediately before 'Edit Length of Service'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and with the same treatment.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SC1: Add Role screen: Manually Queue &gt; Credit Queue &gt; 'Edit Employer Name' permission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708"/>
        <w:gridCol w:w="6318"/>
      </w:tblGrid>
      <w:tr>
        <w:trPr>
          <w:cantSplit/>
          <w:tblHeader/>
        </w:trPr>
        <w:tc>
          <w:tcPr>
            <w:tcW w:type="dxa" w:w="2708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Permission Value</w:t>
            </w:r>
          </w:p>
        </w:tc>
        <w:tc>
          <w:tcPr>
            <w:tcW w:type="dxa" w:w="6318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Allowed Actions</w:t>
            </w:r>
          </w:p>
        </w:tc>
      </w:tr>
      <w:tr>
        <w:trPr>
          <w:cantSplit/>
        </w:trPr>
        <w:tc>
          <w:tcPr>
            <w:tcW w:type="dxa" w:w="270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Edit Employer Name = TRUE</w:t>
            </w:r>
          </w:p>
        </w:tc>
        <w:tc>
          <w:tcPr>
            <w:tcW w:type="dxa" w:w="631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Users can view and update the Company Name field of the Employment Information section in the Edit Application pop-up.</w:t>
            </w:r>
          </w:p>
        </w:tc>
      </w:tr>
      <w:tr>
        <w:trPr>
          <w:cantSplit/>
        </w:trPr>
        <w:tc>
          <w:tcPr>
            <w:tcW w:type="dxa" w:w="270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Edit Employer Name = FALSE</w:t>
            </w:r>
          </w:p>
        </w:tc>
        <w:tc>
          <w:tcPr>
            <w:tcW w:type="dxa" w:w="631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The Company Name field is hidden (the section is hidden when Edit Length of Service is FALSE too). A role with all Edit permissions FALSE does not see the Edit button.</w:t>
            </w:r>
          </w:p>
        </w:tc>
      </w:tr>
    </w:tbl>
    <w:p>
      <w:pPr>
        <w:spacing w:after="80"/>
      </w:pPr>
    </w:p>
    <w:p>
      <w:pPr>
        <w:spacing w:after="120" w:before="40" w:line="264"/>
      </w:pPr>
      <w:r>
        <w:rPr>
          <w:rFonts w:ascii="Arial" w:cs="Arial" w:eastAsia="Arial" w:hAnsi="Arial"/>
          <w:i/>
          <w:iCs/>
          <w:color w:val="000000"/>
          <w:sz w:val="21"/>
          <w:szCs w:val="21"/>
        </w:rPr>
        <w:t xml:space="preserve">The permission is a distinct right — never bundled with Evaluate Application or Send Application, and it stays separate from 'Edit Length of Service' although both fields sit in the one Employment Information section: each permission governs its own field. The Permission Matrix reference page shall be updated.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2. Employer Name edit from Credit Queue</w:t>
      </w: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The existing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Edit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button on the Credit Queue Application Details screen is the entry point. In the Edit Application pop-up, the existing "Length of Service" section is renamed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Employment Information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and holds both employment fields — the new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Company Name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followed by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Length Of Service (Months)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(existing, unchanged). Pop-up order: Application Details → Other Income And Expenses → Liability Info → Employment Information.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SC2: Credit Queue — Application Details, Edit entry point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417195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SC3: Edit Application pop-up — Employment Information section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444"/>
        <w:gridCol w:w="1083"/>
        <w:gridCol w:w="1444"/>
        <w:gridCol w:w="1083"/>
        <w:gridCol w:w="3972"/>
      </w:tblGrid>
      <w:tr>
        <w:trPr>
          <w:cantSplit/>
          <w:tblHeader/>
        </w:trPr>
        <w:tc>
          <w:tcPr>
            <w:tcW w:type="dxa" w:w="1444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Component</w:t>
            </w:r>
          </w:p>
        </w:tc>
        <w:tc>
          <w:tcPr>
            <w:tcW w:type="dxa" w:w="1083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Type</w:t>
            </w:r>
          </w:p>
        </w:tc>
        <w:tc>
          <w:tcPr>
            <w:tcW w:type="dxa" w:w="1444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Mandatory</w:t>
            </w:r>
          </w:p>
        </w:tc>
        <w:tc>
          <w:tcPr>
            <w:tcW w:type="dxa" w:w="1083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Editable</w:t>
            </w:r>
          </w:p>
        </w:tc>
        <w:tc>
          <w:tcPr>
            <w:tcW w:type="dxa" w:w="3972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44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Employment Information</w:t>
            </w:r>
          </w:p>
        </w:tc>
        <w:tc>
          <w:tcPr>
            <w:tcW w:type="dxa" w:w="1083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Section bar</w:t>
            </w:r>
          </w:p>
        </w:tc>
        <w:tc>
          <w:tcPr>
            <w:tcW w:type="dxa" w:w="144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N/A</w:t>
            </w:r>
          </w:p>
        </w:tc>
        <w:tc>
          <w:tcPr>
            <w:tcW w:type="dxa" w:w="1083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N/A</w:t>
            </w:r>
          </w:p>
        </w:tc>
        <w:tc>
          <w:tcPr>
            <w:tcW w:type="dxa" w:w="397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Renamed from 'Length of Service' — same style and position. Shown when 'Edit Length of Service' or 'Edit Employer Name' is TRUE; each field displays per its own permission.</w:t>
            </w:r>
          </w:p>
        </w:tc>
      </w:tr>
      <w:tr>
        <w:trPr>
          <w:cantSplit/>
        </w:trPr>
        <w:tc>
          <w:tcPr>
            <w:tcW w:type="dxa" w:w="144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Company Name</w:t>
            </w:r>
          </w:p>
        </w:tc>
        <w:tc>
          <w:tcPr>
            <w:tcW w:type="dxa" w:w="1083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Input field</w:t>
            </w:r>
          </w:p>
        </w:tc>
        <w:tc>
          <w:tcPr>
            <w:tcW w:type="dxa" w:w="144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Yes</w:t>
            </w:r>
          </w:p>
        </w:tc>
        <w:tc>
          <w:tcPr>
            <w:tcW w:type="dxa" w:w="1083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Yes</w:t>
            </w:r>
          </w:p>
        </w:tc>
        <w:tc>
          <w:tcPr>
            <w:tcW w:type="dxa" w:w="397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New field, governed by 'Edit Employer Name'. Pre-populated with the current finalized Employer Name. Validation as the customer journey field: alphabetic characters only; maximum 200 characters; blank not allowed. An unchanged value on Save does not trigger the re-run.</w:t>
            </w:r>
          </w:p>
        </w:tc>
      </w:tr>
      <w:tr>
        <w:trPr>
          <w:cantSplit/>
        </w:trPr>
        <w:tc>
          <w:tcPr>
            <w:tcW w:type="dxa" w:w="144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Clear All / Cancel / Save</w:t>
            </w:r>
          </w:p>
        </w:tc>
        <w:tc>
          <w:tcPr>
            <w:tcW w:type="dxa" w:w="1083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Existing controls</w:t>
            </w:r>
          </w:p>
        </w:tc>
        <w:tc>
          <w:tcPr>
            <w:tcW w:type="dxa" w:w="144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N/A</w:t>
            </w:r>
          </w:p>
        </w:tc>
        <w:tc>
          <w:tcPr>
            <w:tcW w:type="dxa" w:w="1083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N/A</w:t>
            </w:r>
          </w:p>
        </w:tc>
        <w:tc>
          <w:tcPr>
            <w:tcW w:type="dxa" w:w="397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Unchanged behaviour: Clear All reloads the stored values; Cancel closes without saving; Save is disabled until a value changes.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3. Impact of saving the updated Employer Name</w:t>
      </w:r>
    </w:p>
    <w:p>
      <w:pPr>
        <w:spacing w:after="120" w:before="4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When the user clicks Save, the existing Edit confirmation component is shown once for the whole pop-up — one generic message, not specific to any edited field (centered message, No / Yes, Save buttons): </w:t>
      </w:r>
      <w:r>
        <w:rPr>
          <w:rFonts w:ascii="Arial" w:cs="Arial" w:eastAsia="Arial" w:hAnsi="Arial"/>
          <w:i/>
          <w:iCs/>
          <w:color w:val="000000"/>
          <w:sz w:val="22"/>
          <w:szCs w:val="22"/>
        </w:rPr>
        <w:t xml:space="preserve">'Are you sure you want to update this &lt;Application ID&gt;? The system will automatically recalculate the related fields and re-run the Rule Engine.'</w:t>
      </w:r>
    </w:p>
    <w:p>
      <w:pPr>
        <w:spacing w:after="60" w:before="120"/>
        <w:jc w:val="center"/>
      </w:pPr>
      <w:r>
        <w:drawing>
          <wp:inline distT="0" distB="0" distL="0" distR="0">
            <wp:extent cx="2952750" cy="217170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SC4: Confirmation before the re-run</w:t>
      </w:r>
    </w:p>
    <w:p>
      <w:pPr>
        <w:spacing w:after="120" w:before="4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On 'Yes, Save', the system executes in order: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542"/>
        <w:gridCol w:w="8484"/>
      </w:tblGrid>
      <w:tr>
        <w:trPr>
          <w:cantSplit/>
          <w:tblHeader/>
        </w:trPr>
        <w:tc>
          <w:tcPr>
            <w:tcW w:type="dxa" w:w="542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#</w:t>
            </w:r>
          </w:p>
        </w:tc>
        <w:tc>
          <w:tcPr>
            <w:tcW w:type="dxa" w:w="8484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System action</w:t>
            </w:r>
          </w:p>
        </w:tc>
      </w:tr>
      <w:tr>
        <w:trPr>
          <w:cantSplit/>
        </w:trPr>
        <w:tc>
          <w:tcPr>
            <w:tcW w:type="dxa" w:w="54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dxa" w:w="848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Override the finalized Employer Name with the input. The first system-derived value is kept as the Original Employer Name together with its original classification. Source is recorded as 'Credit Department' with Updated By / Updated On. The government-record and customer-journey source data are not modified.</w:t>
            </w:r>
          </w:p>
        </w:tc>
      </w:tr>
      <w:tr>
        <w:trPr>
          <w:cantSplit/>
        </w:trPr>
        <w:tc>
          <w:tcPr>
            <w:tcW w:type="dxa" w:w="54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dxa" w:w="848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Re-run the employer classification: match the new name against the Empaneled Company list — listed company → ALOC with its category, sector, industry and contact fields; otherwise N-ALOC. Re-evaluate the MOD / MOI / Pensioner flags.</w:t>
            </w:r>
          </w:p>
        </w:tc>
      </w:tr>
      <w:tr>
        <w:trPr>
          <w:cantSplit/>
        </w:trPr>
        <w:tc>
          <w:tcPr>
            <w:tcW w:type="dxa" w:w="54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dxa" w:w="848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Recalculate the calculated variables and the limit assignment — the classification drives the maximum DBR and the income-multiplier group.</w:t>
            </w:r>
          </w:p>
        </w:tc>
      </w:tr>
      <w:tr>
        <w:trPr>
          <w:cantSplit/>
        </w:trPr>
        <w:tc>
          <w:tcPr>
            <w:tcW w:type="dxa" w:w="54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dxa" w:w="848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Re-run the Rule Engine (segmentation, filtration, deviation) on the currently published versions. The existing shared re-run counter applies — the same rule as every edit action that re-triggers the Rule Engine (Edit Information, Re-fetch ECB, Retrigger FTS): if the application fails the Rule Engine more than 2 times in total, the system rejects it. Existing platform behaviour, unchanged by this feature.</w:t>
            </w:r>
          </w:p>
        </w:tc>
      </w:tr>
      <w:tr>
        <w:trPr>
          <w:cantSplit/>
        </w:trPr>
        <w:tc>
          <w:tcPr>
            <w:tcW w:type="dxa" w:w="54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dxa" w:w="848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Route the application per the standard routing logic. The status stays 'Awaiting Credit Approval' unless the routing changes it — no new Application Status, no mobile-app impact.</w:t>
            </w:r>
          </w:p>
        </w:tc>
      </w:tr>
      <w:tr>
        <w:trPr>
          <w:cantSplit/>
        </w:trPr>
        <w:tc>
          <w:tcPr>
            <w:tcW w:type="dxa" w:w="54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dxa" w:w="848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Audit trail: Step = 'Edit Information'; Step Detail on two lines — line 1: </w:t>
            </w:r>
            <w:r>
              <w:rPr>
                <w:rFonts w:ascii="Arial" w:cs="Arial" w:eastAsia="Arial" w:hAnsi="Arial"/>
                <w:i/>
                <w:iCs/>
                <w:color w:val="000000"/>
                <w:sz w:val="21"/>
                <w:szCs w:val="21"/>
              </w:rPr>
              <w:t xml:space="preserve">Employer Name: updated from "&lt;old&gt;" (Source: &lt;old source&gt;) to "&lt;new&gt;"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 — line 2: </w:t>
            </w:r>
            <w:r>
              <w:rPr>
                <w:rFonts w:ascii="Arial" w:cs="Arial" w:eastAsia="Arial" w:hAnsi="Arial"/>
                <w:i/>
                <w:iCs/>
                <w:color w:val="000000"/>
                <w:sz w:val="21"/>
                <w:szCs w:val="21"/>
              </w:rPr>
              <w:t xml:space="preserve">ALOC: updated from &lt;original ALOC&gt; to &lt;updated ALOC&gt;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; Action by = user email. This step is the traceability record — the old → new trail lives in the application history, not in the Application Details display.</w:t>
            </w:r>
          </w:p>
        </w:tc>
      </w:tr>
      <w:tr>
        <w:trPr>
          <w:cantSplit/>
        </w:trPr>
        <w:tc>
          <w:tcPr>
            <w:tcW w:type="dxa" w:w="54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type="dxa" w:w="848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Loading screen up to 15 seconds; the application is locked during the run ('The Application is in another request processing.').</w:t>
            </w:r>
          </w:p>
        </w:tc>
      </w:tr>
      <w:tr>
        <w:trPr>
          <w:cantSplit/>
        </w:trPr>
        <w:tc>
          <w:tcPr>
            <w:tcW w:type="dxa" w:w="54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dxa" w:w="848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Toaster 'Application "&lt;Application ID&gt;" is updated successfully!'; the Application Details, Rule Engine Result and Approve Limit Result sections reload.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Several sections edited in one Save → the recalculation and the Rule Engine run once, after all values are stored.</w:t>
      </w: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No cap on repeat edits; the Original Employer Name is set once and never overwritten.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4. Display after the update</w:t>
      </w:r>
    </w:p>
    <w:p>
      <w:pPr>
        <w:spacing w:after="120" w:before="4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The fields below sit in the expanded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Application Details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section ›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Employment Information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sub-block of the application view.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Application Details displays details only — no trail block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; the old → new trail lives in the Application Enquiry application history (section 3, step 6). The same section is shown, reading the finalized value, in every view that renders it: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Credit Queue L1–L3, Risk Queue, Sale Queue, Compliance Queue, Termination Queue, Disbursement Maker / Checker and Application Enquiry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(all view only):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417195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SC5: Application Details — Employment Information after the update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3069"/>
        <w:gridCol w:w="5957"/>
      </w:tblGrid>
      <w:tr>
        <w:trPr>
          <w:cantSplit/>
          <w:tblHeader/>
        </w:trPr>
        <w:tc>
          <w:tcPr>
            <w:tcW w:type="dxa" w:w="3069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Field</w:t>
            </w:r>
          </w:p>
        </w:tc>
        <w:tc>
          <w:tcPr>
            <w:tcW w:type="dxa" w:w="5957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Value after the edit</w:t>
            </w:r>
          </w:p>
        </w:tc>
      </w:tr>
      <w:tr>
        <w:trPr>
          <w:cantSplit/>
        </w:trPr>
        <w:tc>
          <w:tcPr>
            <w:tcW w:type="dxa" w:w="306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Company Name</w:t>
            </w:r>
          </w:p>
        </w:tc>
        <w:tc>
          <w:tcPr>
            <w:tcW w:type="dxa" w:w="5957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Updated finalized Employer Name — the value the system uses</w:t>
            </w:r>
          </w:p>
        </w:tc>
      </w:tr>
      <w:tr>
        <w:trPr>
          <w:cantSplit/>
        </w:trPr>
        <w:tc>
          <w:tcPr>
            <w:tcW w:type="dxa" w:w="306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Company Name Source (new)</w:t>
            </w:r>
          </w:p>
        </w:tc>
        <w:tc>
          <w:tcPr>
            <w:tcW w:type="dxa" w:w="5957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EFR (Sponsor Name) | Customer Journey | Credit Department (after an edit).</w:t>
            </w:r>
          </w:p>
        </w:tc>
      </w:tr>
      <w:tr>
        <w:trPr>
          <w:cantSplit/>
        </w:trPr>
        <w:tc>
          <w:tcPr>
            <w:tcW w:type="dxa" w:w="306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ALOC / Pensioner</w:t>
            </w:r>
          </w:p>
        </w:tc>
        <w:tc>
          <w:tcPr>
            <w:tcW w:type="dxa" w:w="5957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Re-classified result in the live display format: Yes | No (&lt;match %&gt;)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Repeat edits: every edit writes its own Edit Information step — the application history carries the full trail.</w:t>
      </w: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Application Enquiry impact: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the enquiry details display the updated values identically in the same Application Details section, and its Application History shows the 'Edit Information' step with the old → new values in the step details, followed by the system steps of the re-run. No edit is possible from Application Enquiry.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SC6: Application Enquiry — application history with the Edit Information step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5. Downstream consumers of the corrected Employer Name</w:t>
      </w:r>
    </w:p>
    <w:p>
      <w:pPr>
        <w:spacing w:after="120" w:before="4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After the edit, every consumer of the Employer Name reads the corrected finalized value: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888"/>
        <w:gridCol w:w="6138"/>
      </w:tblGrid>
      <w:tr>
        <w:trPr>
          <w:cantSplit/>
          <w:tblHeader/>
        </w:trPr>
        <w:tc>
          <w:tcPr>
            <w:tcW w:type="dxa" w:w="2888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Consumer</w:t>
            </w:r>
          </w:p>
        </w:tc>
        <w:tc>
          <w:tcPr>
            <w:tcW w:type="dxa" w:w="6138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Behaviour after the edit</w:t>
            </w:r>
          </w:p>
        </w:tc>
      </w:tr>
      <w:tr>
        <w:trPr>
          <w:cantSplit/>
        </w:trPr>
        <w:tc>
          <w:tcPr>
            <w:tcW w:type="dxa" w:w="288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Application details — every view that renders it (Credit / Risk / Sale / Compliance queues, Termination Queue, Disbursement Maker / Checker, Application Enquiry)</w:t>
            </w:r>
          </w:p>
        </w:tc>
        <w:tc>
          <w:tcPr>
            <w:tcW w:type="dxa" w:w="613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Updated name and re-classified ALOC — section 4. No change needed per view: they all read the finalized value.</w:t>
            </w:r>
          </w:p>
        </w:tc>
      </w:tr>
      <w:tr>
        <w:trPr>
          <w:cantSplit/>
        </w:trPr>
        <w:tc>
          <w:tcPr>
            <w:tcW w:type="dxa" w:w="288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CAM report + Affordability Assessment Form</w:t>
            </w:r>
          </w:p>
        </w:tc>
        <w:tc>
          <w:tcPr>
            <w:tcW w:type="dxa" w:w="613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Regenerated on the edit, carrying the updated name, classification and recalculated results.</w:t>
            </w:r>
          </w:p>
        </w:tc>
      </w:tr>
      <w:tr>
        <w:trPr>
          <w:cantSplit/>
        </w:trPr>
        <w:tc>
          <w:tcPr>
            <w:tcW w:type="dxa" w:w="288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Application Form</w:t>
            </w:r>
          </w:p>
        </w:tc>
        <w:tc>
          <w:tcPr>
            <w:tcW w:type="dxa" w:w="613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Not regenerated — it remains the record of what the customer submitted at OTP time.</w:t>
            </w:r>
          </w:p>
        </w:tc>
      </w:tr>
      <w:tr>
        <w:trPr>
          <w:cantSplit/>
        </w:trPr>
        <w:tc>
          <w:tcPr>
            <w:tcW w:type="dxa" w:w="288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Customer Document Stack</w:t>
            </w:r>
          </w:p>
        </w:tc>
        <w:tc>
          <w:tcPr>
            <w:tcW w:type="dxa" w:w="613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Generated after the decision — carries the updated value automatically.</w:t>
            </w:r>
          </w:p>
        </w:tc>
      </w:tr>
      <w:tr>
        <w:trPr>
          <w:cantSplit/>
        </w:trPr>
        <w:tc>
          <w:tcPr>
            <w:tcW w:type="dxa" w:w="288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Core banking (CIF creation)</w:t>
            </w:r>
          </w:p>
        </w:tc>
        <w:tc>
          <w:tcPr>
            <w:tcW w:type="dxa" w:w="613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No impact — the CIF mapping carries no Employer Name.</w:t>
            </w:r>
          </w:p>
        </w:tc>
      </w:tr>
      <w:tr>
        <w:trPr>
          <w:cantSplit/>
        </w:trPr>
        <w:tc>
          <w:tcPr>
            <w:tcW w:type="dxa" w:w="288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AML screening</w:t>
            </w:r>
          </w:p>
        </w:tc>
        <w:tc>
          <w:tcPr>
            <w:tcW w:type="dxa" w:w="613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No re-screening on the edit; the corrected name reaches the screening system through the post-decision CIF-update call.</w:t>
            </w:r>
          </w:p>
        </w:tc>
      </w:tr>
      <w:tr>
        <w:trPr>
          <w:cantSplit/>
        </w:trPr>
        <w:tc>
          <w:tcPr>
            <w:tcW w:type="dxa" w:w="288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Length of Service</w:t>
            </w:r>
          </w:p>
        </w:tc>
        <w:tc>
          <w:tcPr>
            <w:tcW w:type="dxa" w:w="613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Not re-run — it has its own edit section.</w:t>
            </w:r>
          </w:p>
        </w:tc>
      </w:tr>
      <w:tr>
        <w:trPr>
          <w:cantSplit/>
        </w:trPr>
        <w:tc>
          <w:tcPr>
            <w:tcW w:type="dxa" w:w="288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Customer communication</w:t>
            </w:r>
          </w:p>
        </w:tc>
        <w:tc>
          <w:tcPr>
            <w:tcW w:type="dxa" w:w="613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None — the customer is not notified of the correction.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6. Summary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722"/>
        <w:gridCol w:w="1805"/>
        <w:gridCol w:w="3610"/>
        <w:gridCol w:w="2889"/>
      </w:tblGrid>
      <w:tr>
        <w:trPr>
          <w:cantSplit/>
          <w:tblHeader/>
        </w:trPr>
        <w:tc>
          <w:tcPr>
            <w:tcW w:type="dxa" w:w="722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Step</w:t>
            </w:r>
          </w:p>
        </w:tc>
        <w:tc>
          <w:tcPr>
            <w:tcW w:type="dxa" w:w="1805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Actor</w:t>
            </w:r>
          </w:p>
        </w:tc>
        <w:tc>
          <w:tcPr>
            <w:tcW w:type="dxa" w:w="3610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Action</w:t>
            </w:r>
          </w:p>
        </w:tc>
        <w:tc>
          <w:tcPr>
            <w:tcW w:type="dxa" w:w="2889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72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dxa" w:w="180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Credit User (with permission)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Opens Edit on a Credit Queue application and corrects the Company Name</w:t>
            </w:r>
          </w:p>
        </w:tc>
        <w:tc>
          <w:tcPr>
            <w:tcW w:type="dxa" w:w="288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Save enabled once the value changes</w:t>
            </w:r>
          </w:p>
        </w:tc>
      </w:tr>
      <w:tr>
        <w:trPr>
          <w:cantSplit/>
        </w:trPr>
        <w:tc>
          <w:tcPr>
            <w:tcW w:type="dxa" w:w="72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dxa" w:w="180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Credit User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Confirms the update</w:t>
            </w:r>
          </w:p>
        </w:tc>
        <w:tc>
          <w:tcPr>
            <w:tcW w:type="dxa" w:w="288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System actions of section 3 execute in order</w:t>
            </w:r>
          </w:p>
        </w:tc>
      </w:tr>
      <w:tr>
        <w:trPr>
          <w:cantSplit/>
        </w:trPr>
        <w:tc>
          <w:tcPr>
            <w:tcW w:type="dxa" w:w="72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dxa" w:w="180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System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Overrides the finalized name, re-classifies, recalculates, re-runs the Rule Engine and routes</w:t>
            </w:r>
          </w:p>
        </w:tc>
        <w:tc>
          <w:tcPr>
            <w:tcW w:type="dxa" w:w="288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Status stays 'Awaiting Credit Approval' unless routing changes it</w:t>
            </w:r>
          </w:p>
        </w:tc>
      </w:tr>
      <w:tr>
        <w:trPr>
          <w:cantSplit/>
        </w:trPr>
        <w:tc>
          <w:tcPr>
            <w:tcW w:type="dxa" w:w="72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dxa" w:w="180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System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Refreshes the view and writes the audit trail</w:t>
            </w:r>
          </w:p>
        </w:tc>
        <w:tc>
          <w:tcPr>
            <w:tcW w:type="dxa" w:w="288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Updated details, original → updated trail, history step</w:t>
            </w:r>
          </w:p>
        </w:tc>
      </w:tr>
      <w:tr>
        <w:trPr>
          <w:cantSplit/>
        </w:trPr>
        <w:tc>
          <w:tcPr>
            <w:tcW w:type="dxa" w:w="72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dxa" w:w="180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Credit User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Decides the case on the corrected employer</w:t>
            </w:r>
          </w:p>
        </w:tc>
        <w:tc>
          <w:tcPr>
            <w:tcW w:type="dxa" w:w="288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Approve / override / reject on the true classification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ADDITIONAL IMPACT ANALYSIS</w:t>
      </w:r>
    </w:p>
    <w:p>
      <w:pPr>
        <w:spacing w:after="120" w:before="4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Beyond the direct scope above, the following areas of the Reem Bank platform are impacted and must be carried into estimation and test scope: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715"/>
        <w:gridCol w:w="4062"/>
        <w:gridCol w:w="3249"/>
      </w:tblGrid>
      <w:tr>
        <w:trPr>
          <w:cantSplit/>
          <w:tblHeader/>
        </w:trPr>
        <w:tc>
          <w:tcPr>
            <w:tcW w:type="dxa" w:w="1715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Area</w:t>
            </w:r>
          </w:p>
        </w:tc>
        <w:tc>
          <w:tcPr>
            <w:tcW w:type="dxa" w:w="4062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Impact</w:t>
            </w:r>
          </w:p>
        </w:tc>
        <w:tc>
          <w:tcPr>
            <w:tcW w:type="dxa" w:w="3249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Screen</w:t>
            </w:r>
          </w:p>
        </w:tc>
      </w:tr>
      <w:tr>
        <w:trPr>
          <w:cantSplit/>
        </w:trPr>
        <w:tc>
          <w:tcPr>
            <w:tcW w:type="dxa" w:w="171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Role Management / Permission Matrix</w:t>
            </w:r>
          </w:p>
        </w:tc>
        <w:tc>
          <w:tcPr>
            <w:tcW w:type="dxa" w:w="406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New permission 'Edit Employer Name' on Credit Queue L1–L3 (Editor group; one permission per queue level, no product classification). A distinct right, never bundled. Permission Matrix page updated.</w:t>
            </w:r>
          </w:p>
        </w:tc>
        <w:tc>
          <w:tcPr>
            <w:tcW w:type="dxa" w:w="32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40" w:before="0"/>
              <w:jc w:val="center"/>
            </w:pPr>
            <w:r>
              <w:drawing>
                <wp:inline distT="0" distB="0" distL="0" distR="0">
                  <wp:extent cx="1809750" cy="247650"/>
                  <wp:effectExtent t="0" r="0" b="0" l="0"/>
                  <wp:docPr id="1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Role Management › Credit Queue (SC1)</w:t>
            </w:r>
          </w:p>
        </w:tc>
      </w:tr>
      <w:tr>
        <w:trPr>
          <w:cantSplit/>
        </w:trPr>
        <w:tc>
          <w:tcPr>
            <w:tcW w:type="dxa" w:w="171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Edit Application pop-up</w:t>
            </w:r>
          </w:p>
        </w:tc>
        <w:tc>
          <w:tcPr>
            <w:tcW w:type="dxa" w:w="406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New Employment Information section with the single Company Name field and customer-journey validation.</w:t>
            </w:r>
          </w:p>
        </w:tc>
        <w:tc>
          <w:tcPr>
            <w:tcW w:type="dxa" w:w="32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40" w:before="0"/>
              <w:jc w:val="center"/>
            </w:pPr>
            <w:r>
              <w:drawing>
                <wp:inline distT="0" distB="0" distL="0" distR="0">
                  <wp:extent cx="1809750" cy="219075"/>
                  <wp:effectExtent t="0" r="0" b="0" l="0"/>
                  <wp:docPr id="1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Edit Application › Employment Information (SC3)</w:t>
            </w:r>
          </w:p>
        </w:tc>
      </w:tr>
      <w:tr>
        <w:trPr>
          <w:cantSplit/>
        </w:trPr>
        <w:tc>
          <w:tcPr>
            <w:tcW w:type="dxa" w:w="171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Employer classification</w:t>
            </w:r>
          </w:p>
        </w:tc>
        <w:tc>
          <w:tcPr>
            <w:tcW w:type="dxa" w:w="406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The classification step becomes re-runnable on demand for one application with a user-provided name; it overwrites the previous results atomically.</w:t>
            </w:r>
          </w:p>
        </w:tc>
        <w:tc>
          <w:tcPr>
            <w:tcW w:type="dxa" w:w="32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40" w:before="0"/>
              <w:jc w:val="center"/>
            </w:pPr>
            <w:r>
              <w:drawing>
                <wp:inline distT="0" distB="0" distL="0" distR="0">
                  <wp:extent cx="1809750" cy="1333500"/>
                  <wp:effectExtent t="0" r="0" b="0" l="0"/>
                  <wp:docPr id="1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Confirmation before the re-run (SC4)</w:t>
            </w:r>
          </w:p>
        </w:tc>
      </w:tr>
      <w:tr>
        <w:trPr>
          <w:cantSplit/>
        </w:trPr>
        <w:tc>
          <w:tcPr>
            <w:tcW w:type="dxa" w:w="171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Rule Engine &amp; Limit Assignment</w:t>
            </w:r>
          </w:p>
        </w:tc>
        <w:tc>
          <w:tcPr>
            <w:tcW w:type="dxa" w:w="406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Re-run on the new classification against the currently published versions; shared re-run counter; recalculation of calculated variables and approved limit.</w:t>
            </w:r>
          </w:p>
        </w:tc>
        <w:tc>
          <w:tcPr>
            <w:tcW w:type="dxa" w:w="32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40" w:before="0"/>
              <w:jc w:val="center"/>
            </w:pPr>
            <w:r>
              <w:drawing>
                <wp:inline distT="0" distB="0" distL="0" distR="0">
                  <wp:extent cx="1809750" cy="1019175"/>
                  <wp:effectExtent t="0" r="0" b="0" l="0"/>
                  <wp:docPr id="1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019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Rule Engine — published strategies</w:t>
            </w:r>
          </w:p>
        </w:tc>
      </w:tr>
      <w:tr>
        <w:trPr>
          <w:cantSplit/>
        </w:trPr>
        <w:tc>
          <w:tcPr>
            <w:tcW w:type="dxa" w:w="171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Application Details display</w:t>
            </w:r>
          </w:p>
        </w:tc>
        <w:tc>
          <w:tcPr>
            <w:tcW w:type="dxa" w:w="406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Company Name Source row on every view rendering the section (queues including Termination / Disbursement, Application Enquiry); classification fields refreshed. No trail block — the trail is in the application history only.</w:t>
            </w:r>
          </w:p>
        </w:tc>
        <w:tc>
          <w:tcPr>
            <w:tcW w:type="dxa" w:w="32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40" w:before="0"/>
              <w:jc w:val="center"/>
            </w:pPr>
            <w:r>
              <w:drawing>
                <wp:inline distT="0" distB="0" distL="0" distR="0">
                  <wp:extent cx="1809750" cy="819150"/>
                  <wp:effectExtent t="0" r="0" b="0" l="0"/>
                  <wp:docPr id="1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Application Details › Employment Information (SC5)</w:t>
            </w:r>
          </w:p>
        </w:tc>
      </w:tr>
      <w:tr>
        <w:trPr>
          <w:cantSplit/>
        </w:trPr>
        <w:tc>
          <w:tcPr>
            <w:tcW w:type="dxa" w:w="171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Audit trail</w:t>
            </w:r>
          </w:p>
        </w:tc>
        <w:tc>
          <w:tcPr>
            <w:tcW w:type="dxa" w:w="406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'Edit Information' step with a dynamic old → new step detail; the re-run steps log with Action by = System.</w:t>
            </w:r>
          </w:p>
        </w:tc>
        <w:tc>
          <w:tcPr>
            <w:tcW w:type="dxa" w:w="32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40" w:before="0"/>
              <w:jc w:val="center"/>
            </w:pPr>
            <w:r>
              <w:drawing>
                <wp:inline distT="0" distB="0" distL="0" distR="0">
                  <wp:extent cx="1809750" cy="133350"/>
                  <wp:effectExtent t="0" r="0" b="0" l="0"/>
                  <wp:docPr id="1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Application history (SC6)</w:t>
            </w:r>
          </w:p>
        </w:tc>
      </w:tr>
    </w:tbl>
    <w:p>
      <w:r>
        <w:br w:type="page"/>
      </w:r>
    </w:p>
    <w:p>
      <w:pPr>
        <w:spacing w:after="0"/>
      </w:pPr>
      <w:r>
        <w:drawing>
          <wp:inline distT="0" distB="0" distL="0" distR="0">
            <wp:extent cx="1619250" cy="971550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0"/>
      </w:pPr>
    </w:p>
    <w:p>
      <w:pPr>
        <w:spacing w:after="400"/>
        <w:jc w:val="center"/>
      </w:pPr>
      <w:r>
        <w:rPr>
          <w:rFonts w:ascii="Arial" w:cs="Arial" w:eastAsia="Arial" w:hAnsi="Arial"/>
          <w:color w:val="3B7EF6"/>
          <w:sz w:val="72"/>
          <w:szCs w:val="72"/>
        </w:rPr>
        <w:t xml:space="preserve">THANK YOU</w:t>
      </w:r>
    </w:p>
    <w:p>
      <w:pPr>
        <w:spacing w:after="0"/>
        <w:jc w:val="center"/>
      </w:pPr>
      <w:r>
        <w:drawing>
          <wp:inline distT="0" distB="0" distL="0" distR="0">
            <wp:extent cx="1905000" cy="552450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0"/>
      </w:pPr>
    </w:p>
    <w:p>
      <w:pPr>
        <w:spacing w:after="60" w:before="0"/>
        <w:jc w:val="center"/>
      </w:pPr>
      <w:r>
        <w:rPr>
          <w:rFonts w:ascii="Arial" w:cs="Arial" w:eastAsia="Arial" w:hAnsi="Arial"/>
          <w:b w:val="false"/>
          <w:bCs w:val="false"/>
          <w:color w:val="000000"/>
          <w:sz w:val="19"/>
          <w:szCs w:val="19"/>
        </w:rPr>
        <w:t xml:space="preserve">This is not a legally binding document</w:t>
      </w:r>
    </w:p>
    <w:p>
      <w:pPr>
        <w:spacing w:after="60" w:before="0"/>
        <w:jc w:val="center"/>
      </w:pPr>
      <w:r>
        <w:rPr>
          <w:rFonts w:ascii="Arial" w:cs="Arial" w:eastAsia="Arial" w:hAnsi="Arial"/>
          <w:b w:val="false"/>
          <w:bCs w:val="false"/>
          <w:color w:val="000000"/>
          <w:sz w:val="19"/>
          <w:szCs w:val="19"/>
        </w:rPr>
        <w:t xml:space="preserve">Highly confidential not to be shared without written consent</w:t>
      </w:r>
    </w:p>
    <w:p>
      <w:pPr>
        <w:spacing w:after="200"/>
      </w:pPr>
    </w:p>
    <w:p>
      <w:pPr>
        <w:spacing w:after="0"/>
        <w:jc w:val="center"/>
      </w:pPr>
      <w:r>
        <w:drawing>
          <wp:inline distT="0" distB="0" distL="0" distR="0">
            <wp:extent cx="5715000" cy="67627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500" w:footer="48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026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964"/>
      <w:gridCol w:w="1354"/>
      <w:gridCol w:w="2708"/>
    </w:tblGrid>
    <w:tr>
      <w:tc>
        <w:tcPr>
          <w:tcW w:type="dxa" w:w="4964"/>
          <w:vAlign w:val="center"/>
        </w:tcPr>
        <w:p>
          <w:pPr>
            <w:spacing w:after="0" w:before="0" w:line="216"/>
          </w:pPr>
          <w:r>
            <w:rPr>
              <w:rFonts w:ascii="Arial" w:cs="Arial" w:eastAsia="Arial" w:hAnsi="Arial"/>
              <w:b/>
              <w:bCs/>
              <w:color w:val="000000"/>
              <w:sz w:val="15"/>
              <w:szCs w:val="15"/>
            </w:rPr>
            <w:t xml:space="preserve">This is not a legally binding document</w:t>
          </w:r>
          <w:r>
            <w:rPr>
              <w:rFonts w:ascii="Arial" w:cs="Arial" w:eastAsia="Arial" w:hAnsi="Arial"/>
              <w:b/>
              <w:bCs/>
              <w:color w:val="000000"/>
              <w:sz w:val="15"/>
              <w:szCs w:val="15"/>
            </w:rPr>
            <w:br/>
            <w:t xml:space="preserve">Highly confidential not to be shared without written consent</w:t>
          </w:r>
        </w:p>
      </w:tc>
      <w:tc>
        <w:tcPr>
          <w:tcW w:type="dxa" w:w="1354"/>
          <w:vAlign w:val="center"/>
        </w:tcPr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color w:val="000000"/>
              <w:sz w:val="22"/>
              <w:szCs w:val="22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  <w:tc>
        <w:tcPr>
          <w:tcW w:type="dxa" w:w="2708"/>
          <w:vAlign w:val="center"/>
        </w:tcPr>
        <w:p>
          <w:pPr>
            <w:spacing w:after="0" w:before="0"/>
            <w:jc w:val="right"/>
          </w:pPr>
          <w:r>
            <w:drawing>
              <wp:inline distT="0" distB="0" distL="0" distR="0">
                <wp:extent cx="914400" cy="180975"/>
                <wp:effectExtent t="0" r="0" b="0" l="0"/>
                <wp:docPr id="2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1809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026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13"/>
      <w:gridCol w:w="4513"/>
    </w:tblGrid>
    <w:tr>
      <w:tc>
        <w:tcPr>
          <w:tcW w:type="dxa" w:w="4513"/>
          <w:vAlign w:val="center"/>
        </w:tcPr>
        <w:p>
          <w:pPr>
            <w:spacing w:after="0" w:before="0"/>
          </w:pPr>
          <w:r>
            <w:rPr>
              <w:rFonts w:ascii="Arial" w:cs="Arial" w:eastAsia="Arial" w:hAnsi="Arial"/>
              <w:color w:val="000000"/>
              <w:sz w:val="18"/>
              <w:szCs w:val="18"/>
            </w:rPr>
            <w:t xml:space="preserve">Confidential</w:t>
          </w:r>
        </w:p>
      </w:tc>
      <w:tc>
        <w:tcPr>
          <w:tcW w:type="dxa" w:w="4513"/>
          <w:vAlign w:val="center"/>
        </w:tcPr>
        <w:p>
          <w:pPr>
            <w:spacing w:after="0" w:before="0"/>
            <w:jc w:val="right"/>
          </w:pPr>
          <w:r>
            <w:drawing>
              <wp:inline distT="0" distB="0" distL="0" distR="0">
                <wp:extent cx="952500" cy="285750"/>
                <wp:effectExtent t="0" r="0" b="0" l="0"/>
                <wp:docPr id="20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52500" cy="285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cf7f58707dd27c556f85cbf2c7925f29658baa0d.png"/><Relationship Id="rId10" Type="http://schemas.openxmlformats.org/officeDocument/2006/relationships/image" Target="media/ee85f6ba4ac8e38a12e73211a55e1c42fbc8f1f6.png"/><Relationship Id="rId11" Type="http://schemas.openxmlformats.org/officeDocument/2006/relationships/image" Target="media/b277ccb406c856a7fa3dde452918104f11aad811.png"/><Relationship Id="rId12" Type="http://schemas.openxmlformats.org/officeDocument/2006/relationships/image" Target="media/0f143d1722c3167a83a9d5411fbfc67787ac9cde.png"/><Relationship Id="rId13" Type="http://schemas.openxmlformats.org/officeDocument/2006/relationships/image" Target="media/03abf5316434d9729a182d1ef85ad5927ade79ed.png"/><Relationship Id="rId14" Type="http://schemas.openxmlformats.org/officeDocument/2006/relationships/image" Target="media/a129e0adf99c4f793f8ca8f4187c20de032f5d54.png"/><Relationship Id="rId15" Type="http://schemas.openxmlformats.org/officeDocument/2006/relationships/image" Target="media/16b98cad15d7726f3a8b30e1002528abb4174cca.png"/><Relationship Id="rId16" Type="http://schemas.openxmlformats.org/officeDocument/2006/relationships/image" Target="media/ad071a559a6c9c0623b0a795fffb0db639cb6f90.png"/><Relationship Id="rId17" Type="http://schemas.openxmlformats.org/officeDocument/2006/relationships/image" Target="media/035d13d98c5fe5039696c98634bae171058c0b3e.png"/><Relationship Id="rId18" Type="http://schemas.openxmlformats.org/officeDocument/2006/relationships/image" Target="media/bacf7845789a66be6022d53dba95d5758b76f80f.png"/><Relationship Id="rId19" Type="http://schemas.openxmlformats.org/officeDocument/2006/relationships/image" Target="media/1b4e0631e74c01130840ae0909d454ca8d1fbe8e.png"/><Relationship Id="rId20" Type="http://schemas.openxmlformats.org/officeDocument/2006/relationships/image" Target="media/9a57f64bed8d46f31af9de485ceecef9022283ce.png"/><Relationship Id="rId21" Type="http://schemas.openxmlformats.org/officeDocument/2006/relationships/image" Target="media/d6aad7696761111ee541c15901235b333ec66f43.png"/><Relationship Id="rId22" Type="http://schemas.openxmlformats.org/officeDocument/2006/relationships/image" Target="media/550b229c093d01e880e3d39f3fcac48d21e3f1e8.png"/><Relationship Id="rId23" Type="http://schemas.openxmlformats.org/officeDocument/2006/relationships/image" Target="media/1c95c4cb28e315e7f80444edce98f06a69bac8fb.png"/><Relationship Id="rId24" Type="http://schemas.openxmlformats.org/officeDocument/2006/relationships/image" Target="media/46342df5f60a01d6f2534cd8378705f0c6ea7f9f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21e03be648ff4188e6db5e1ce2152e7598743b22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45f7e94444dc47aed53453246ef11472da2b80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Employer Name Edit in Credit Queue V1.0</dc:title>
  <dc:creator>Appro</dc:creator>
  <cp:lastModifiedBy>Un-named</cp:lastModifiedBy>
  <cp:revision>1</cp:revision>
  <dcterms:created xsi:type="dcterms:W3CDTF">2026-09-30T10:45:58.516Z</dcterms:created>
  <dcterms:modified xsi:type="dcterms:W3CDTF">2026-09-30T10:45:58.521Z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