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200"/>
        <w:jc w:val="center"/>
      </w:pPr>
      <w:r>
        <w:rPr>
          <w:rFonts w:ascii="Arial" w:cs="Arial" w:eastAsia="Arial" w:hAnsi="Arial"/>
          <w:b/>
          <w:bCs/>
          <w:color w:val="3B7EF6"/>
          <w:sz w:val="44"/>
          <w:szCs w:val="44"/>
        </w:rPr>
        <w:t xml:space="preserve">V1.0</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(DBR safety nets, segmentation failure, approved limit below Min Boundary). Compliance, Risk and Sale queue rejections are </w:t>
      </w:r>
      <w:r>
        <w:rPr>
          <w:rFonts w:ascii="Arial" w:cs="Arial" w:eastAsia="Arial" w:hAnsi="Arial"/>
          <w:b/>
          <w:bCs/>
          <w:color w:val="000000"/>
          <w:sz w:val="22"/>
          <w:szCs w:val="22"/>
        </w:rPr>
        <w:t xml:space="preserve">out of scope</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r>
        <w:br w:type="page"/>
      </w:r>
    </w:p>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The customer is informed only when the re-assessment completes: on approval, the customer receives the approval communication below — the same message as a normally approved application; on a repeat rejection, the standard rejection notification applies and the 30-day window restarts.</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(Customer)</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New Customer-type template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Two new Bank-type email templates per product (revert approved / not approved) plus one new Customer-type template — approval after re-assessment, mirroring the standard approval message (section 6). English, banking tone, signing off as Reem Bank. The Compliance / Risk reject confirmation texts stay as they are — those rejections remain non-revertible.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2026-09-18T06:54:19.732Z</dcterms:created>
  <dcterms:modified xsi:type="dcterms:W3CDTF">2026-09-18T06:54:19.733Z</dcterms:modified>
</cp:coreProperties>
</file>

<file path=docProps/custom.xml><?xml version="1.0" encoding="utf-8"?>
<Properties xmlns="http://schemas.openxmlformats.org/officeDocument/2006/custom-properties" xmlns:vt="http://schemas.openxmlformats.org/officeDocument/2006/docPropsVTypes"/>
</file>