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0"/>
      </w:pPr>
    </w:p>
    <w:p>
      <w:pPr>
        <w:spacing w:after="60"/>
        <w:jc w:val="center"/>
      </w:pPr>
      <w:r>
        <w:rPr>
          <w:rFonts w:ascii="Lato" w:cs="Lato" w:eastAsia="Lato" w:hAnsi="Lato"/>
          <w:b/>
          <w:bCs/>
          <w:color w:val="1A214D"/>
          <w:sz w:val="56"/>
          <w:szCs w:val="56"/>
        </w:rPr>
        <w:t xml:space="preserve">Employer Name Edit in</w:t>
      </w:r>
      <w:r>
        <w:rPr>
          <w:rFonts w:ascii="Lato" w:cs="Lato" w:eastAsia="Lato" w:hAnsi="Lato"/>
          <w:b/>
          <w:bCs/>
          <w:color w:val="1A214D"/>
          <w:sz w:val="56"/>
          <w:szCs w:val="56"/>
        </w:rPr>
        <w:br/>
        <w:t xml:space="preserve">Credit Queue</w:t>
      </w:r>
    </w:p>
    <w:p>
      <w:pPr>
        <w:spacing w:after="60"/>
        <w:jc w:val="center"/>
      </w:pPr>
      <w:r>
        <w:rPr>
          <w:rFonts w:ascii="Lato" w:cs="Lato" w:eastAsia="Lato" w:hAnsi="Lato"/>
          <w:b/>
          <w:bCs/>
          <w:color w:val="3B7EF6"/>
          <w:sz w:val="44"/>
          <w:szCs w:val="44"/>
        </w:rPr>
        <w:t xml:space="preserve">V1.0</w:t>
      </w:r>
    </w:p>
    <w:p>
      <w:pPr>
        <w:spacing w:after="200"/>
        <w:jc w:val="center"/>
      </w:pPr>
      <w:r>
        <w:rPr>
          <w:rFonts w:ascii="Lato" w:cs="Lato" w:eastAsia="Lato" w:hAnsi="Lato"/>
          <w:color w:val="666666"/>
          <w:sz w:val="22"/>
          <w:szCs w:val="22"/>
        </w:rPr>
        <w:t xml:space="preserve">30 September 2026</w:t>
      </w:r>
    </w:p>
    <w:p>
      <w:pPr>
        <w:spacing w:after="0"/>
        <w:jc w:val="center"/>
      </w:pPr>
      <w:r>
        <w:drawing>
          <wp:inline distT="0" distB="0" distL="0" distR="0">
            <wp:extent cx="1571625" cy="457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300"/>
      </w:pPr>
    </w:p>
    <w:p>
      <w:pPr>
        <w:spacing w:after="60" w:before="0"/>
        <w:jc w:val="center"/>
      </w:pPr>
      <w:r>
        <w:rPr>
          <w:rFonts w:ascii="Lato" w:cs="Lato" w:eastAsia="Lato" w:hAnsi="Lato"/>
          <w:b w:val="false"/>
          <w:bCs w:val="false"/>
          <w:color w:val="1A214D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Lato" w:cs="Lato" w:eastAsia="Lato" w:hAnsi="Lato"/>
          <w:b w:val="false"/>
          <w:bCs w:val="false"/>
          <w:color w:val="1A214D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60" w:before="320"/>
      </w:pPr>
      <w:r>
        <w:rPr>
          <w:rFonts w:ascii="Lato" w:cs="Lato" w:eastAsia="Lato" w:hAnsi="Lato"/>
          <w:b/>
          <w:bCs/>
          <w:color w:val="3B7EF6"/>
          <w:sz w:val="32"/>
          <w:szCs w:val="32"/>
        </w:rPr>
        <w:t xml:space="preserve">HISTORY OF CHANGE</w:t>
      </w:r>
    </w:p>
    <w:p>
      <w:pPr>
        <w:pBdr>
          <w:bottom w:val="single" w:color="FDBA23" w:sz="12" w:space="1"/>
        </w:pBdr>
        <w:spacing w:after="140" w:before="0"/>
      </w:pP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83"/>
        <w:gridCol w:w="2166"/>
        <w:gridCol w:w="1986"/>
        <w:gridCol w:w="3791"/>
      </w:tblGrid>
      <w:tr>
        <w:trPr>
          <w:cantSplit/>
          <w:tblHeader/>
        </w:trPr>
        <w:tc>
          <w:tcPr>
            <w:tcW w:type="dxa" w:w="1083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Version</w:t>
            </w:r>
          </w:p>
        </w:tc>
        <w:tc>
          <w:tcPr>
            <w:tcW w:type="dxa" w:w="2166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1986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Author</w:t>
            </w:r>
          </w:p>
        </w:tc>
        <w:tc>
          <w:tcPr>
            <w:tcW w:type="dxa" w:w="3791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1.0</w:t>
            </w:r>
          </w:p>
        </w:tc>
        <w:tc>
          <w:tcPr>
            <w:tcW w:type="dxa" w:w="216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30 September 2026</w:t>
            </w:r>
          </w:p>
        </w:tc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Hailey (Appro)</w:t>
            </w:r>
          </w:p>
        </w:tc>
        <w:tc>
          <w:tcPr>
            <w:tcW w:type="dxa" w:w="3791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Initial version</w:t>
            </w:r>
          </w:p>
        </w:tc>
      </w:tr>
    </w:tbl>
    <w:p>
      <w:pPr>
        <w:spacing w:after="200"/>
      </w:pPr>
    </w:p>
    <w:p>
      <w:pPr>
        <w:pStyle w:val="Heading1"/>
        <w:spacing w:after="60" w:before="320"/>
      </w:pPr>
      <w:r>
        <w:rPr>
          <w:rFonts w:ascii="Lato" w:cs="Lato" w:eastAsia="Lato" w:hAnsi="Lato"/>
          <w:b/>
          <w:bCs/>
          <w:color w:val="3B7EF6"/>
          <w:sz w:val="32"/>
          <w:szCs w:val="32"/>
        </w:rPr>
        <w:t xml:space="preserve">EMPLOYER NAME EDIT IN CREDIT QUEUE</w:t>
      </w:r>
    </w:p>
    <w:p>
      <w:pPr>
        <w:pBdr>
          <w:bottom w:val="single" w:color="FDBA23" w:sz="12" w:space="1"/>
        </w:pBdr>
        <w:spacing w:after="140" w:before="0"/>
      </w:pPr>
    </w:p>
    <w:p>
      <w:pPr>
        <w:pStyle w:val="Heading2"/>
        <w:spacing w:after="120" w:before="260"/>
      </w:pPr>
      <w:r>
        <w:rPr>
          <w:rFonts w:ascii="Lato" w:cs="Lato" w:eastAsia="Lato" w:hAnsi="Lato"/>
          <w:b/>
          <w:bCs/>
          <w:color w:val="1A214D"/>
          <w:sz w:val="26"/>
          <w:szCs w:val="26"/>
        </w:rPr>
        <w:t xml:space="preserve">FEATURE OVERVIEW</w:t>
      </w:r>
    </w:p>
    <w:p>
      <w:pPr>
        <w:spacing w:after="120" w:before="4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This document describes the Super Portal capability that allows authorised Credit users to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correct the Employer Name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of an application while it sits in the Credit Queue. Today the Employer Name is system-derived and locked — from the government employment record (sponsor name) or from the customer input — although it drives the employer classification (ALOC), the related company attributes, the Rule Engine evaluation and the maximum DBR used by limit assignment. A wrong employer name today leaves the Credit user only two options: decide the case on non-listed-company terms, or reject it. Key steps are as following: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Credit user with the 'Edit Employer Name' permission opens the existing Edit Application pop-up in Credit Queue and corrects the Company Name in the Employment Information section (the renamed Length of Service section, now holding both employment fields).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On save and confirmation, the system overrides the finalized Employer Name, re-runs the employer classification (ALOC and MOD / MOI / Pensioner flags), recalculates the related fields and re-runs the Rule Engine.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The application details display the updated name, the re-classified result and a full original → updated trail; every downstream consumer of the Employer Name reads the corrected value.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124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120" w:before="4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Applicable products: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CC, PL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. </w:t>
      </w:r>
      <w:r>
        <w:rPr>
          <w:rFonts w:ascii="Lato" w:cs="Lato" w:eastAsia="Lato" w:hAnsi="Lato"/>
          <w:i/>
          <w:iCs/>
          <w:color w:val="1A214D"/>
          <w:sz w:val="22"/>
          <w:szCs w:val="22"/>
        </w:rPr>
        <w:t xml:space="preserve">(CASA is excluded — it has no credit decisioning; Mortgage Loan and Auto Loan are not yet part of the platform scope.)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986"/>
        <w:gridCol w:w="7040"/>
      </w:tblGrid>
      <w:tr>
        <w:trPr>
          <w:cantSplit/>
          <w:tblHeader/>
        </w:trPr>
        <w:tc>
          <w:tcPr>
            <w:tcW w:type="dxa" w:w="1986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Product Type</w:t>
            </w:r>
          </w:p>
        </w:tc>
        <w:tc>
          <w:tcPr>
            <w:tcW w:type="dxa" w:w="7040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Applicable Status where the Employer Name can be edited</w:t>
            </w:r>
          </w:p>
        </w:tc>
      </w:tr>
      <w:tr>
        <w:trPr>
          <w:cantSplit/>
        </w:trPr>
        <w:tc>
          <w:tcPr>
            <w:tcW w:type="dxa" w:w="1986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CC</w:t>
            </w:r>
          </w:p>
        </w:tc>
        <w:tc>
          <w:tcPr>
            <w:tcW w:type="dxa" w:w="704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  <w:tr>
        <w:trPr>
          <w:cantSplit/>
        </w:trPr>
        <w:tc>
          <w:tcPr>
            <w:tcW w:type="dxa" w:w="1986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PL</w:t>
            </w:r>
          </w:p>
        </w:tc>
        <w:tc>
          <w:tcPr>
            <w:tcW w:type="dxa" w:w="7040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Credit Queue L1 / L2 / L3 — Application Status 'Awaiting Credit Approval'</w:t>
            </w:r>
          </w:p>
        </w:tc>
      </w:tr>
    </w:tbl>
    <w:p>
      <w:pPr>
        <w:spacing w:after="160"/>
      </w:pPr>
    </w:p>
    <w:p>
      <w:pPr>
        <w:spacing w:after="120" w:before="4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The edit shall be restricted in below scenarios: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Scenario</w:t>
            </w:r>
          </w:p>
        </w:tc>
        <w:tc>
          <w:tcPr>
            <w:tcW w:type="dxa" w:w="6318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Condition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Application waiting for income verification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The application is pending the income retrigger — Edit is disabled as today.</w:t>
            </w:r>
          </w:p>
        </w:tc>
      </w:tr>
      <w:tr>
        <w:trPr>
          <w:cantSplit/>
        </w:trPr>
        <w:tc>
          <w:tcPr>
            <w:tcW w:type="dxa" w:w="270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Application locked by another request</w:t>
            </w:r>
          </w:p>
        </w:tc>
        <w:tc>
          <w:tcPr>
            <w:tcW w:type="dxa" w:w="631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 recalculation or Rule Engine run is in progress — 'The Application is in another request processing.'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User without the permission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'Edit Employer Name' = FALSE — the section is hidden; a role with all Edit permissions FALSE does not see the Edit button.</w:t>
            </w:r>
          </w:p>
        </w:tc>
      </w:tr>
      <w:tr>
        <w:trPr>
          <w:cantSplit/>
        </w:trPr>
        <w:tc>
          <w:tcPr>
            <w:tcW w:type="dxa" w:w="270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Application not in Credit Queue</w:t>
            </w:r>
          </w:p>
        </w:tc>
        <w:tc>
          <w:tcPr>
            <w:tcW w:type="dxa" w:w="631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Application Enquiry and the Risk / Compliance / Sale queues remain view only.</w:t>
            </w:r>
          </w:p>
        </w:tc>
      </w:tr>
    </w:tbl>
    <w:p>
      <w:pPr>
        <w:pStyle w:val="Heading1"/>
        <w:spacing w:after="60" w:before="320"/>
      </w:pPr>
      <w:r>
        <w:rPr>
          <w:rFonts w:ascii="Lato" w:cs="Lato" w:eastAsia="Lato" w:hAnsi="Lato"/>
          <w:b/>
          <w:bCs/>
          <w:color w:val="3B7EF6"/>
          <w:sz w:val="32"/>
          <w:szCs w:val="32"/>
        </w:rPr>
        <w:t xml:space="preserve">END-TO-END EMPLOYER NAME EDIT FLOW FROM SUPER PORTAL</w:t>
      </w:r>
    </w:p>
    <w:p>
      <w:pPr>
        <w:pBdr>
          <w:bottom w:val="single" w:color="FDBA23" w:sz="12" w:space="1"/>
        </w:pBdr>
        <w:spacing w:after="140" w:before="0"/>
      </w:pPr>
    </w:p>
    <w:p>
      <w:pPr>
        <w:pStyle w:val="Heading2"/>
        <w:spacing w:after="120" w:before="260"/>
      </w:pPr>
      <w:r>
        <w:rPr>
          <w:rFonts w:ascii="Lato" w:cs="Lato" w:eastAsia="Lato" w:hAnsi="Lato"/>
          <w:b/>
          <w:bCs/>
          <w:color w:val="1A214D"/>
          <w:sz w:val="26"/>
          <w:szCs w:val="26"/>
        </w:rPr>
        <w:t xml:space="preserve">1. Role Management: Edit Employer Name Permission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A new role permission named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'Edit Employer Name'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shall be added to the Editor group of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Credit Queue L1, L2 and L3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under the Manually Queue section of Role Management — per product tab ([Credit Card] / [Personal Loan]), listed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immediately before 'Edit Length of Service'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and with the same product-tab treatment.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Lato" w:cs="Lato" w:eastAsia="Lato" w:hAnsi="Lato"/>
          <w:i/>
          <w:iCs/>
          <w:color w:val="666666"/>
          <w:sz w:val="20"/>
          <w:szCs w:val="20"/>
        </w:rPr>
        <w:t xml:space="preserve">SC1: Add Role screen: Manually Queue &gt; Credit Queue &gt; 'Edit Employer Name' permission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Permission Value</w:t>
            </w:r>
          </w:p>
        </w:tc>
        <w:tc>
          <w:tcPr>
            <w:tcW w:type="dxa" w:w="6318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Allowed Actions</w:t>
            </w:r>
          </w:p>
        </w:tc>
      </w:tr>
      <w:tr>
        <w:trPr>
          <w:cantSplit/>
        </w:trPr>
        <w:tc>
          <w:tcPr>
            <w:tcW w:type="dxa" w:w="270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[Product] Edit Employer Name = TRUE</w:t>
            </w:r>
          </w:p>
        </w:tc>
        <w:tc>
          <w:tcPr>
            <w:tcW w:type="dxa" w:w="631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Users can view and update the Employment Information section of the Edit Application pop-up for that product.</w:t>
            </w:r>
          </w:p>
        </w:tc>
      </w:tr>
      <w:tr>
        <w:trPr>
          <w:cantSplit/>
        </w:trPr>
        <w:tc>
          <w:tcPr>
            <w:tcW w:type="dxa" w:w="270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[Product] Edit Employer Name = FALSE</w:t>
            </w:r>
          </w:p>
        </w:tc>
        <w:tc>
          <w:tcPr>
            <w:tcW w:type="dxa" w:w="631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The Employment Information section is hidden. A role with all Edit permissions FALSE does not see the Edit button.</w:t>
            </w:r>
          </w:p>
        </w:tc>
      </w:tr>
    </w:tbl>
    <w:p>
      <w:pPr>
        <w:spacing w:after="80"/>
      </w:pPr>
    </w:p>
    <w:p>
      <w:pPr>
        <w:spacing w:after="120" w:before="40" w:line="264"/>
      </w:pPr>
      <w:r>
        <w:rPr>
          <w:rFonts w:ascii="Lato" w:cs="Lato" w:eastAsia="Lato" w:hAnsi="Lato"/>
          <w:i/>
          <w:iCs/>
          <w:color w:val="1A214D"/>
          <w:sz w:val="21"/>
          <w:szCs w:val="21"/>
        </w:rPr>
        <w:t xml:space="preserve">The permission is a distinct right — never bundled with Evaluate Application or Send Application, and it stays separate from 'Edit Length of Service' although both fields sit in the one Employment Information section: each permission governs its own field. The Permission Matrix reference page shall be updated.</w:t>
      </w:r>
    </w:p>
    <w:p>
      <w:pPr>
        <w:pStyle w:val="Heading2"/>
        <w:spacing w:after="120" w:before="260"/>
      </w:pPr>
      <w:r>
        <w:rPr>
          <w:rFonts w:ascii="Lato" w:cs="Lato" w:eastAsia="Lato" w:hAnsi="Lato"/>
          <w:b/>
          <w:bCs/>
          <w:color w:val="1A214D"/>
          <w:sz w:val="26"/>
          <w:szCs w:val="26"/>
        </w:rPr>
        <w:t xml:space="preserve">2. Employer Name edit from Credit Queue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The existing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Edit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button on the Credit Queue Application Details screen is the entry point. In the Edit Application pop-up, the existing "Length of Service" section is renamed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Employment Information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and holds both employment fields — the new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Company Name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followed by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Length Of Service (Months)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(existing, unchanged). Pop-up order: Application Details → Other Income And Expenses → Liability Info → Employment Information.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Lato" w:cs="Lato" w:eastAsia="Lato" w:hAnsi="Lato"/>
          <w:i/>
          <w:iCs/>
          <w:color w:val="666666"/>
          <w:sz w:val="20"/>
          <w:szCs w:val="20"/>
        </w:rPr>
        <w:t xml:space="preserve">SC2: Credit Queue — Application Details, Edit entry point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Lato" w:cs="Lato" w:eastAsia="Lato" w:hAnsi="Lato"/>
          <w:i/>
          <w:iCs/>
          <w:color w:val="666666"/>
          <w:sz w:val="20"/>
          <w:szCs w:val="20"/>
        </w:rPr>
        <w:t xml:space="preserve">SC3: Edit Application pop-up — Employment Information section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444"/>
        <w:gridCol w:w="1083"/>
        <w:gridCol w:w="1444"/>
        <w:gridCol w:w="1083"/>
        <w:gridCol w:w="3972"/>
      </w:tblGrid>
      <w:tr>
        <w:trPr>
          <w:cantSplit/>
          <w:tblHeader/>
        </w:trPr>
        <w:tc>
          <w:tcPr>
            <w:tcW w:type="dxa" w:w="1444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W w:type="dxa" w:w="1083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1444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Mandatory</w:t>
            </w:r>
          </w:p>
        </w:tc>
        <w:tc>
          <w:tcPr>
            <w:tcW w:type="dxa" w:w="1083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Editable</w:t>
            </w:r>
          </w:p>
        </w:tc>
        <w:tc>
          <w:tcPr>
            <w:tcW w:type="dxa" w:w="3972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Employment Information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Section bar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Renamed from 'Length of Service' — same style and position. Shown when 'Edit Length of Service' or 'Edit Employer Name' is TRUE; each field displays per its own permission.</w:t>
            </w:r>
          </w:p>
        </w:tc>
      </w:tr>
      <w:tr>
        <w:trPr>
          <w:cantSplit/>
        </w:trPr>
        <w:tc>
          <w:tcPr>
            <w:tcW w:type="dxa" w:w="1444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1083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Input field</w:t>
            </w:r>
          </w:p>
        </w:tc>
        <w:tc>
          <w:tcPr>
            <w:tcW w:type="dxa" w:w="1444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Yes</w:t>
            </w:r>
          </w:p>
        </w:tc>
        <w:tc>
          <w:tcPr>
            <w:tcW w:type="dxa" w:w="1083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Yes</w:t>
            </w:r>
          </w:p>
        </w:tc>
        <w:tc>
          <w:tcPr>
            <w:tcW w:type="dxa" w:w="397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New field, governed by 'Edit Employer Name'. Pre-populated with the current finalized Employer Name. Validation as the customer journey field: alphabetic characters only; maximum 200 characters; blank not allowed. An unchanged value on Save does not trigger the re-run.</w:t>
            </w:r>
          </w:p>
        </w:tc>
      </w:tr>
      <w:tr>
        <w:trPr>
          <w:cantSplit/>
        </w:trPr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Clear All / Cancel / Save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Existing controls</w:t>
            </w:r>
          </w:p>
        </w:tc>
        <w:tc>
          <w:tcPr>
            <w:tcW w:type="dxa" w:w="144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N/A</w:t>
            </w:r>
          </w:p>
        </w:tc>
        <w:tc>
          <w:tcPr>
            <w:tcW w:type="dxa" w:w="1083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N/A</w:t>
            </w:r>
          </w:p>
        </w:tc>
        <w:tc>
          <w:tcPr>
            <w:tcW w:type="dxa" w:w="397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Unchanged behaviour: Clear All reloads the stored values; Cancel closes without saving; Save is disabled until a value changes.</w:t>
            </w:r>
          </w:p>
        </w:tc>
      </w:tr>
    </w:tbl>
    <w:p>
      <w:pPr>
        <w:pStyle w:val="Heading2"/>
        <w:spacing w:after="120" w:before="260"/>
      </w:pPr>
      <w:r>
        <w:rPr>
          <w:rFonts w:ascii="Lato" w:cs="Lato" w:eastAsia="Lato" w:hAnsi="Lato"/>
          <w:b/>
          <w:bCs/>
          <w:color w:val="1A214D"/>
          <w:sz w:val="26"/>
          <w:szCs w:val="26"/>
        </w:rPr>
        <w:t xml:space="preserve">3. Impact of saving the updated Employer Name</w:t>
      </w:r>
    </w:p>
    <w:p>
      <w:pPr>
        <w:spacing w:after="120" w:before="4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When the user clicks Save, the existing Edit confirmation component is shown once for the whole pop-up — one generic message, not specific to any edited field (centered message, No / Yes, Save buttons): </w:t>
      </w:r>
      <w:r>
        <w:rPr>
          <w:rFonts w:ascii="Lato" w:cs="Lato" w:eastAsia="Lato" w:hAnsi="Lato"/>
          <w:i/>
          <w:iCs/>
          <w:color w:val="1A214D"/>
          <w:sz w:val="22"/>
          <w:szCs w:val="22"/>
        </w:rPr>
        <w:t xml:space="preserve">'Are you sure you want to update this &lt;Application ID&gt;? The system will automatically recalculate the related fields and re-run the Rule Engine.'</w:t>
      </w:r>
    </w:p>
    <w:p>
      <w:pPr>
        <w:spacing w:after="60" w:before="120"/>
        <w:jc w:val="center"/>
      </w:pPr>
      <w:r>
        <w:drawing>
          <wp:inline distT="0" distB="0" distL="0" distR="0">
            <wp:extent cx="2952750" cy="2171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Lato" w:cs="Lato" w:eastAsia="Lato" w:hAnsi="Lato"/>
          <w:i/>
          <w:iCs/>
          <w:color w:val="666666"/>
          <w:sz w:val="20"/>
          <w:szCs w:val="20"/>
        </w:rPr>
        <w:t xml:space="preserve">SC4: Confirmation before the re-run</w:t>
      </w:r>
    </w:p>
    <w:p>
      <w:pPr>
        <w:spacing w:after="120" w:before="4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On 'Yes, Save', the system executes in order: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542"/>
        <w:gridCol w:w="8484"/>
      </w:tblGrid>
      <w:tr>
        <w:trPr>
          <w:cantSplit/>
          <w:tblHeader/>
        </w:trPr>
        <w:tc>
          <w:tcPr>
            <w:tcW w:type="dxa" w:w="542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8484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System action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1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Override the finalized Employer Name with the input. The first system-derived value is kept as the Original Employer Name together with its original classification. Source is recorded as 'Credit Department' with Updated By / Updated On. The government-record and customer-journey source data are not modified.</w:t>
            </w:r>
          </w:p>
        </w:tc>
      </w:tr>
      <w:tr>
        <w:trPr>
          <w:cantSplit/>
        </w:trPr>
        <w:tc>
          <w:tcPr>
            <w:tcW w:type="dxa" w:w="54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2</w:t>
            </w:r>
          </w:p>
        </w:tc>
        <w:tc>
          <w:tcPr>
            <w:tcW w:type="dxa" w:w="8484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Re-run the employer classification: match the new name against the Empaneled Company list — listed company → ALOC with its category, sector, industry and contact fields; otherwise N-ALOC. Re-evaluate the MOD / MOI / Pensioner flags.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3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Recalculate the calculated variables and the limit assignment — the classification drives the maximum DBR and the income-multiplier group.</w:t>
            </w:r>
          </w:p>
        </w:tc>
      </w:tr>
      <w:tr>
        <w:trPr>
          <w:cantSplit/>
        </w:trPr>
        <w:tc>
          <w:tcPr>
            <w:tcW w:type="dxa" w:w="54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4</w:t>
            </w:r>
          </w:p>
        </w:tc>
        <w:tc>
          <w:tcPr>
            <w:tcW w:type="dxa" w:w="8484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Re-run the Rule Engine (segmentation, filtration, deviation) on the currently published versions. The existing shared re-run counter applies — the same rule as every edit action that re-triggers the Rule Engine (Edit Information, Re-fetch ECB, Retrigger FTS): if the application fails the Rule Engine more than 2 times in total, the system rejects it. Existing platform behaviour, unchanged by this feature.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5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Route the application per the standard routing logic. The status stays 'Awaiting Credit Approval' unless the routing changes it — no new Application Status, no mobile-app impact.</w:t>
            </w:r>
          </w:p>
        </w:tc>
      </w:tr>
      <w:tr>
        <w:trPr>
          <w:cantSplit/>
        </w:trPr>
        <w:tc>
          <w:tcPr>
            <w:tcW w:type="dxa" w:w="54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6</w:t>
            </w:r>
          </w:p>
        </w:tc>
        <w:tc>
          <w:tcPr>
            <w:tcW w:type="dxa" w:w="8484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Audit trail: Step = 'Edit Information'; Step Detail = 'Employer Name updated from "&lt;old&gt;" (Source: &lt;old source&gt;) to "&lt;new&gt;". ALOC updated from &lt;original ALOC&gt; to &lt;updated ALOC&gt;.'; Action by = user email. This step is the traceability record — the old → new trail lives in the application history, not in the Application Details display.</w:t>
            </w:r>
          </w:p>
        </w:tc>
      </w:tr>
      <w:tr>
        <w:trPr>
          <w:cantSplit/>
        </w:trPr>
        <w:tc>
          <w:tcPr>
            <w:tcW w:type="dxa" w:w="54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7</w:t>
            </w:r>
          </w:p>
        </w:tc>
        <w:tc>
          <w:tcPr>
            <w:tcW w:type="dxa" w:w="8484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Loading screen up to 15 seconds; the application is locked during the run ('The Application is in another request processing.').</w:t>
            </w:r>
          </w:p>
        </w:tc>
      </w:tr>
      <w:tr>
        <w:trPr>
          <w:cantSplit/>
        </w:trPr>
        <w:tc>
          <w:tcPr>
            <w:tcW w:type="dxa" w:w="54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8</w:t>
            </w:r>
          </w:p>
        </w:tc>
        <w:tc>
          <w:tcPr>
            <w:tcW w:type="dxa" w:w="8484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Toaster 'Application "&lt;Application ID&gt;" is updated successfully!'; the Application Details, Rule Engine Result and Approve Limit Result sections reload.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Several sections edited in one Save → the recalculation and the Rule Engine run once, after all values are stored.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No cap on repeat edits; the Original Employer Name is set once and never overwritten.</w:t>
      </w:r>
    </w:p>
    <w:p>
      <w:pPr>
        <w:pStyle w:val="Heading2"/>
        <w:spacing w:after="120" w:before="260"/>
      </w:pPr>
      <w:r>
        <w:rPr>
          <w:rFonts w:ascii="Lato" w:cs="Lato" w:eastAsia="Lato" w:hAnsi="Lato"/>
          <w:b/>
          <w:bCs/>
          <w:color w:val="1A214D"/>
          <w:sz w:val="26"/>
          <w:szCs w:val="26"/>
        </w:rPr>
        <w:t xml:space="preserve">4. Display after the update</w:t>
      </w:r>
    </w:p>
    <w:p>
      <w:pPr>
        <w:spacing w:after="120" w:before="4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The fields below sit in the expanded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Application Details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section ›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Employment Information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sub-block of the application view.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Application Details displays details only — no trail block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; the old → new trail lives in the Application Enquiry application history (section 3, step 6). The same section is shown, reading the finalized value, in every view that renders it: </w:t>
      </w: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Credit Queue L1–L3, Risk Queue, Sale Queue, Compliance Queue, Termination Queue, Disbursement Maker / Checker and Application Enquiry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(all view only):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1719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Lato" w:cs="Lato" w:eastAsia="Lato" w:hAnsi="Lato"/>
          <w:i/>
          <w:iCs/>
          <w:color w:val="666666"/>
          <w:sz w:val="20"/>
          <w:szCs w:val="20"/>
        </w:rPr>
        <w:t xml:space="preserve">SC5: Application Details — Employment Information after the update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069"/>
        <w:gridCol w:w="5957"/>
      </w:tblGrid>
      <w:tr>
        <w:trPr>
          <w:cantSplit/>
          <w:tblHeader/>
        </w:trPr>
        <w:tc>
          <w:tcPr>
            <w:tcW w:type="dxa" w:w="3069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type="dxa" w:w="5957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Value after the edit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Company Name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Updated finalized Employer Name — the value the system uses</w:t>
            </w:r>
          </w:p>
        </w:tc>
      </w:tr>
      <w:tr>
        <w:trPr>
          <w:cantSplit/>
        </w:trPr>
        <w:tc>
          <w:tcPr>
            <w:tcW w:type="dxa" w:w="3069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Company Name Source (new)</w:t>
            </w:r>
          </w:p>
        </w:tc>
        <w:tc>
          <w:tcPr>
            <w:tcW w:type="dxa" w:w="5957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EFR (Sponsor Name) | Customer Journey | Credit Department (after an edit).</w:t>
            </w:r>
          </w:p>
        </w:tc>
      </w:tr>
      <w:tr>
        <w:trPr>
          <w:cantSplit/>
        </w:trPr>
        <w:tc>
          <w:tcPr>
            <w:tcW w:type="dxa" w:w="306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ALOC / Pensioner</w:t>
            </w:r>
          </w:p>
        </w:tc>
        <w:tc>
          <w:tcPr>
            <w:tcW w:type="dxa" w:w="5957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Re-classified result in the live display format: Yes | No (&lt;match %&gt;)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Repeat edits: every edit writes its own Edit Information step — the application history carries the full trail.</w:t>
      </w:r>
    </w:p>
    <w:p>
      <w:pPr>
        <w:pStyle w:val="ListParagraph"/>
        <w:numPr>
          <w:ilvl w:val="0"/>
          <w:numId w:val="1"/>
        </w:numPr>
        <w:spacing w:after="80" w:before="30" w:line="264"/>
      </w:pPr>
      <w:r>
        <w:rPr>
          <w:rFonts w:ascii="Lato" w:cs="Lato" w:eastAsia="Lato" w:hAnsi="Lato"/>
          <w:b/>
          <w:bCs/>
          <w:color w:val="1A214D"/>
          <w:sz w:val="22"/>
          <w:szCs w:val="22"/>
        </w:rPr>
        <w:t xml:space="preserve">Application Enquiry impact:</w:t>
      </w: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 the enquiry details display the updated values identically in the same Application Details section, and its Application History shows the 'Edit Information' step with the old → new values in the step details, followed by the system steps of the re-run. No edit is possible from Application Enquiry.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/>
        <w:jc w:val="center"/>
      </w:pPr>
      <w:r>
        <w:rPr>
          <w:rFonts w:ascii="Lato" w:cs="Lato" w:eastAsia="Lato" w:hAnsi="Lato"/>
          <w:i/>
          <w:iCs/>
          <w:color w:val="666666"/>
          <w:sz w:val="20"/>
          <w:szCs w:val="20"/>
        </w:rPr>
        <w:t xml:space="preserve">SC6: Application Enquiry — application history with the Edit Information step</w:t>
      </w:r>
    </w:p>
    <w:p>
      <w:pPr>
        <w:pStyle w:val="Heading2"/>
        <w:spacing w:after="120" w:before="260"/>
      </w:pPr>
      <w:r>
        <w:rPr>
          <w:rFonts w:ascii="Lato" w:cs="Lato" w:eastAsia="Lato" w:hAnsi="Lato"/>
          <w:b/>
          <w:bCs/>
          <w:color w:val="1A214D"/>
          <w:sz w:val="26"/>
          <w:szCs w:val="26"/>
        </w:rPr>
        <w:t xml:space="preserve">5. Downstream consumers of the corrected Employer Name</w:t>
      </w:r>
    </w:p>
    <w:p>
      <w:pPr>
        <w:spacing w:after="120" w:before="4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After the edit, every consumer of the Employer Name reads the corrected finalized value: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888"/>
        <w:gridCol w:w="6138"/>
      </w:tblGrid>
      <w:tr>
        <w:trPr>
          <w:cantSplit/>
          <w:tblHeader/>
        </w:trPr>
        <w:tc>
          <w:tcPr>
            <w:tcW w:type="dxa" w:w="2888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Consumer</w:t>
            </w:r>
          </w:p>
        </w:tc>
        <w:tc>
          <w:tcPr>
            <w:tcW w:type="dxa" w:w="6138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Behaviour after the edit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Application details — every view that renders it (Credit / Risk / Sale / Compliance queues, Termination Queue, Disbursement Maker / Checker, Application Enquiry)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Updated name and re-classified ALOC — section 4. No change needed per view: they all read the finalized value.</w:t>
            </w:r>
          </w:p>
        </w:tc>
      </w:tr>
      <w:tr>
        <w:trPr>
          <w:cantSplit/>
        </w:trPr>
        <w:tc>
          <w:tcPr>
            <w:tcW w:type="dxa" w:w="288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CAM report + Affordability Assessment Form</w:t>
            </w:r>
          </w:p>
        </w:tc>
        <w:tc>
          <w:tcPr>
            <w:tcW w:type="dxa" w:w="613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Regenerated on the edit, carrying the updated name, classification and recalculated results.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Application Form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Not regenerated — it remains the record of what the customer submitted at OTP time.</w:t>
            </w:r>
          </w:p>
        </w:tc>
      </w:tr>
      <w:tr>
        <w:trPr>
          <w:cantSplit/>
        </w:trPr>
        <w:tc>
          <w:tcPr>
            <w:tcW w:type="dxa" w:w="288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Customer Document Stack</w:t>
            </w:r>
          </w:p>
        </w:tc>
        <w:tc>
          <w:tcPr>
            <w:tcW w:type="dxa" w:w="613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Generated after the decision — carries the updated value automatically.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Core banking (CIF creation)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No impact — the CIF mapping carries no Employer Name.</w:t>
            </w:r>
          </w:p>
        </w:tc>
      </w:tr>
      <w:tr>
        <w:trPr>
          <w:cantSplit/>
        </w:trPr>
        <w:tc>
          <w:tcPr>
            <w:tcW w:type="dxa" w:w="288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AML screening</w:t>
            </w:r>
          </w:p>
        </w:tc>
        <w:tc>
          <w:tcPr>
            <w:tcW w:type="dxa" w:w="613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No re-screening on the edit; the corrected name reaches the screening system through the post-decision CIF-update call.</w:t>
            </w:r>
          </w:p>
        </w:tc>
      </w:tr>
      <w:tr>
        <w:trPr>
          <w:cantSplit/>
        </w:trPr>
        <w:tc>
          <w:tcPr>
            <w:tcW w:type="dxa" w:w="288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Length of Service</w:t>
            </w:r>
          </w:p>
        </w:tc>
        <w:tc>
          <w:tcPr>
            <w:tcW w:type="dxa" w:w="6138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Not re-run — it has its own edit section.</w:t>
            </w:r>
          </w:p>
        </w:tc>
      </w:tr>
      <w:tr>
        <w:trPr>
          <w:cantSplit/>
        </w:trPr>
        <w:tc>
          <w:tcPr>
            <w:tcW w:type="dxa" w:w="288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Customer communication</w:t>
            </w:r>
          </w:p>
        </w:tc>
        <w:tc>
          <w:tcPr>
            <w:tcW w:type="dxa" w:w="6138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None — the customer is not notified of the correction.</w:t>
            </w:r>
          </w:p>
        </w:tc>
      </w:tr>
    </w:tbl>
    <w:p>
      <w:pPr>
        <w:pStyle w:val="Heading2"/>
        <w:spacing w:after="120" w:before="260"/>
      </w:pPr>
      <w:r>
        <w:rPr>
          <w:rFonts w:ascii="Lato" w:cs="Lato" w:eastAsia="Lato" w:hAnsi="Lato"/>
          <w:b/>
          <w:bCs/>
          <w:color w:val="1A214D"/>
          <w:sz w:val="26"/>
          <w:szCs w:val="26"/>
        </w:rPr>
        <w:t xml:space="preserve">6. Summary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722"/>
        <w:gridCol w:w="1805"/>
        <w:gridCol w:w="3610"/>
        <w:gridCol w:w="2889"/>
      </w:tblGrid>
      <w:tr>
        <w:trPr>
          <w:cantSplit/>
          <w:tblHeader/>
        </w:trPr>
        <w:tc>
          <w:tcPr>
            <w:tcW w:type="dxa" w:w="722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1805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Actor</w:t>
            </w:r>
          </w:p>
        </w:tc>
        <w:tc>
          <w:tcPr>
            <w:tcW w:type="dxa" w:w="3610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Action</w:t>
            </w:r>
          </w:p>
        </w:tc>
        <w:tc>
          <w:tcPr>
            <w:tcW w:type="dxa" w:w="2889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Result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1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Credit User (with permission)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Opens Edit on a Credit Queue application and corrects the Company Name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Save enabled once the value changes</w:t>
            </w:r>
          </w:p>
        </w:tc>
      </w:tr>
      <w:tr>
        <w:trPr>
          <w:cantSplit/>
        </w:trPr>
        <w:tc>
          <w:tcPr>
            <w:tcW w:type="dxa" w:w="72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2</w:t>
            </w:r>
          </w:p>
        </w:tc>
        <w:tc>
          <w:tcPr>
            <w:tcW w:type="dxa" w:w="1805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Confirms the update</w:t>
            </w:r>
          </w:p>
        </w:tc>
        <w:tc>
          <w:tcPr>
            <w:tcW w:type="dxa" w:w="2889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System actions of section 3 execute in order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3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Overrides the finalized name, re-classifies, recalculates, re-runs the Rule Engine and routes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Status stays 'Awaiting Credit Approval' unless routing changes it</w:t>
            </w:r>
          </w:p>
        </w:tc>
      </w:tr>
      <w:tr>
        <w:trPr>
          <w:cantSplit/>
        </w:trPr>
        <w:tc>
          <w:tcPr>
            <w:tcW w:type="dxa" w:w="72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4</w:t>
            </w:r>
          </w:p>
        </w:tc>
        <w:tc>
          <w:tcPr>
            <w:tcW w:type="dxa" w:w="1805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System</w:t>
            </w:r>
          </w:p>
        </w:tc>
        <w:tc>
          <w:tcPr>
            <w:tcW w:type="dxa" w:w="3610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Refreshes the view and writes the audit trail</w:t>
            </w:r>
          </w:p>
        </w:tc>
        <w:tc>
          <w:tcPr>
            <w:tcW w:type="dxa" w:w="2889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Updated details, original → updated trail, history step</w:t>
            </w:r>
          </w:p>
        </w:tc>
      </w:tr>
      <w:tr>
        <w:trPr>
          <w:cantSplit/>
        </w:trPr>
        <w:tc>
          <w:tcPr>
            <w:tcW w:type="dxa" w:w="72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5</w:t>
            </w:r>
          </w:p>
        </w:tc>
        <w:tc>
          <w:tcPr>
            <w:tcW w:type="dxa" w:w="180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Credit User</w:t>
            </w:r>
          </w:p>
        </w:tc>
        <w:tc>
          <w:tcPr>
            <w:tcW w:type="dxa" w:w="3610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Decides the case on the corrected employer</w:t>
            </w:r>
          </w:p>
        </w:tc>
        <w:tc>
          <w:tcPr>
            <w:tcW w:type="dxa" w:w="2889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Approve / override / reject on the true classification</w:t>
            </w:r>
          </w:p>
        </w:tc>
      </w:tr>
    </w:tbl>
    <w:p>
      <w:r>
        <w:br w:type="page"/>
      </w:r>
    </w:p>
    <w:p>
      <w:pPr>
        <w:pStyle w:val="Heading1"/>
        <w:spacing w:after="60" w:before="320"/>
      </w:pPr>
      <w:r>
        <w:rPr>
          <w:rFonts w:ascii="Lato" w:cs="Lato" w:eastAsia="Lato" w:hAnsi="Lato"/>
          <w:b/>
          <w:bCs/>
          <w:color w:val="3B7EF6"/>
          <w:sz w:val="32"/>
          <w:szCs w:val="32"/>
        </w:rPr>
        <w:t xml:space="preserve">ADDITIONAL IMPACT ANALYSIS</w:t>
      </w:r>
    </w:p>
    <w:p>
      <w:pPr>
        <w:pBdr>
          <w:bottom w:val="single" w:color="FDBA23" w:sz="12" w:space="1"/>
        </w:pBdr>
        <w:spacing w:after="140" w:before="0"/>
      </w:pPr>
    </w:p>
    <w:p>
      <w:pPr>
        <w:spacing w:after="120" w:before="40" w:line="264"/>
      </w:pPr>
      <w:r>
        <w:rPr>
          <w:rFonts w:ascii="Lato" w:cs="Lato" w:eastAsia="Lato" w:hAnsi="Lato"/>
          <w:b w:val="false"/>
          <w:bCs w:val="false"/>
          <w:color w:val="1A214D"/>
          <w:sz w:val="22"/>
          <w:szCs w:val="22"/>
        </w:rPr>
        <w:t xml:space="preserve">Beyond the direct scope above, the following areas of the Reem Bank platform are impacted and must be carried into estimation and test scope:</w:t>
      </w:r>
    </w:p>
    <w:tbl>
      <w:tblPr>
        <w:tblW w:type="dxa" w:w="9026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715"/>
        <w:gridCol w:w="4062"/>
        <w:gridCol w:w="3249"/>
      </w:tblGrid>
      <w:tr>
        <w:trPr>
          <w:cantSplit/>
          <w:tblHeader/>
        </w:trPr>
        <w:tc>
          <w:tcPr>
            <w:tcW w:type="dxa" w:w="1715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Area</w:t>
            </w:r>
          </w:p>
        </w:tc>
        <w:tc>
          <w:tcPr>
            <w:tcW w:type="dxa" w:w="4062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Impact</w:t>
            </w:r>
          </w:p>
        </w:tc>
        <w:tc>
          <w:tcPr>
            <w:tcW w:type="dxa" w:w="3249"/>
            <w:shd w:fill="1A214D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/>
                <w:bCs/>
                <w:color w:val="FFFFFF"/>
                <w:sz w:val="21"/>
                <w:szCs w:val="21"/>
              </w:rPr>
              <w:t xml:space="preserve">Screen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Role Management / Permission Matrix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New permission 'Edit Employer Name' on Credit Queue L1–L3 (Editor group, per product tab). A distinct right, never bundled. Permission Matrix page updated.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476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color w:val="666666"/>
                <w:sz w:val="17"/>
                <w:szCs w:val="17"/>
              </w:rPr>
              <w:t xml:space="preserve">Role Management › Credit Queue (SC1)</w:t>
            </w:r>
          </w:p>
        </w:tc>
      </w:tr>
      <w:tr>
        <w:trPr>
          <w:cantSplit/>
        </w:trPr>
        <w:tc>
          <w:tcPr>
            <w:tcW w:type="dxa" w:w="1715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Edit Application pop-up</w:t>
            </w:r>
          </w:p>
        </w:tc>
        <w:tc>
          <w:tcPr>
            <w:tcW w:type="dxa" w:w="406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New Employment Information section with the single Company Name field and customer-journey validation.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21907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color w:val="666666"/>
                <w:sz w:val="17"/>
                <w:szCs w:val="17"/>
              </w:rPr>
              <w:t xml:space="preserve">Edit Application › Employment Information (SC3)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Employer classification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The classification step becomes re-runnable on demand for one application with a user-provided name; it overwrites the previous results atomically.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color w:val="666666"/>
                <w:sz w:val="17"/>
                <w:szCs w:val="17"/>
              </w:rPr>
              <w:t xml:space="preserve">Confirmation before the re-run (SC4)</w:t>
            </w:r>
          </w:p>
        </w:tc>
      </w:tr>
      <w:tr>
        <w:trPr>
          <w:cantSplit/>
        </w:trPr>
        <w:tc>
          <w:tcPr>
            <w:tcW w:type="dxa" w:w="1715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Rule Engine &amp; Limit Assignment</w:t>
            </w:r>
          </w:p>
        </w:tc>
        <w:tc>
          <w:tcPr>
            <w:tcW w:type="dxa" w:w="406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Re-run on the new classification against the currently published versions; shared re-run counter; recalculation of calculated variables and approved limit.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01917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color w:val="666666"/>
                <w:sz w:val="17"/>
                <w:szCs w:val="17"/>
              </w:rPr>
              <w:t xml:space="preserve">Rule Engine — published strategies</w:t>
            </w:r>
          </w:p>
        </w:tc>
      </w:tr>
      <w:tr>
        <w:trPr>
          <w:cantSplit/>
        </w:trPr>
        <w:tc>
          <w:tcPr>
            <w:tcW w:type="dxa" w:w="1715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Application Details display</w:t>
            </w:r>
          </w:p>
        </w:tc>
        <w:tc>
          <w:tcPr>
            <w:tcW w:type="dxa" w:w="4062"/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Company Name Source row on every view rendering the section (queues including Termination / Disbursement, Application Enquiry); classification fields refreshed. No trail block — the trail is in the application history only.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819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color w:val="666666"/>
                <w:sz w:val="17"/>
                <w:szCs w:val="17"/>
              </w:rPr>
              <w:t xml:space="preserve">Application Details › Employment Information (SC5)</w:t>
            </w:r>
          </w:p>
        </w:tc>
      </w:tr>
      <w:tr>
        <w:trPr>
          <w:cantSplit/>
        </w:trPr>
        <w:tc>
          <w:tcPr>
            <w:tcW w:type="dxa" w:w="1715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Audit trail</w:t>
            </w:r>
          </w:p>
        </w:tc>
        <w:tc>
          <w:tcPr>
            <w:tcW w:type="dxa" w:w="4062"/>
            <w:shd w:fill="EDF2FF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52"/>
            </w:pPr>
            <w:r>
              <w:rPr>
                <w:rFonts w:ascii="Lato" w:cs="Lato" w:eastAsia="Lato" w:hAnsi="Lato"/>
                <w:b w:val="false"/>
                <w:bCs w:val="false"/>
                <w:color w:val="1A214D"/>
                <w:sz w:val="21"/>
                <w:szCs w:val="21"/>
              </w:rPr>
              <w:t xml:space="preserve">'Edit Information' step with a dynamic old → new step detail; the re-run steps log with Action by = System.</w:t>
            </w:r>
          </w:p>
        </w:tc>
        <w:tc>
          <w:tcPr>
            <w:tcW w:type="dxa" w:w="32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40" w:before="0"/>
              <w:jc w:val="center"/>
            </w:pPr>
            <w:r>
              <w:drawing>
                <wp:inline distT="0" distB="0" distL="0" distR="0">
                  <wp:extent cx="1809750" cy="1333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  <w:jc w:val="center"/>
            </w:pPr>
            <w:r>
              <w:rPr>
                <w:rFonts w:ascii="Lato" w:cs="Lato" w:eastAsia="Lato" w:hAnsi="Lato"/>
                <w:color w:val="666666"/>
                <w:sz w:val="17"/>
                <w:szCs w:val="17"/>
              </w:rPr>
              <w:t xml:space="preserve">Application history (SC6)</w:t>
            </w:r>
          </w:p>
        </w:tc>
      </w:tr>
    </w:tbl>
    <w:p>
      <w:r>
        <w:br w:type="page"/>
      </w:r>
    </w:p>
    <w:p>
      <w:pPr>
        <w:spacing w:after="0"/>
      </w:pPr>
      <w:r>
        <w:drawing>
          <wp:inline distT="0" distB="0" distL="0" distR="0">
            <wp:extent cx="1619250" cy="9715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400"/>
        <w:jc w:val="center"/>
      </w:pPr>
      <w:r>
        <w:rPr>
          <w:rFonts w:ascii="Lato" w:cs="Lato" w:eastAsia="Lato" w:hAnsi="Lato"/>
          <w:color w:val="3B7EF6"/>
          <w:sz w:val="72"/>
          <w:szCs w:val="72"/>
        </w:rPr>
        <w:t xml:space="preserve">THANK YOU</w:t>
      </w:r>
    </w:p>
    <w:p>
      <w:pPr>
        <w:spacing w:after="0"/>
        <w:jc w:val="center"/>
      </w:pPr>
      <w:r>
        <w:drawing>
          <wp:inline distT="0" distB="0" distL="0" distR="0">
            <wp:extent cx="1905000" cy="5524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0"/>
      </w:pPr>
    </w:p>
    <w:p>
      <w:pPr>
        <w:spacing w:after="60" w:before="0"/>
        <w:jc w:val="center"/>
      </w:pPr>
      <w:r>
        <w:rPr>
          <w:rFonts w:ascii="Lato" w:cs="Lato" w:eastAsia="Lato" w:hAnsi="Lato"/>
          <w:b w:val="false"/>
          <w:bCs w:val="false"/>
          <w:color w:val="1A214D"/>
          <w:sz w:val="19"/>
          <w:szCs w:val="19"/>
        </w:rPr>
        <w:t xml:space="preserve">This is not a legally binding document</w:t>
      </w:r>
    </w:p>
    <w:p>
      <w:pPr>
        <w:spacing w:after="60" w:before="0"/>
        <w:jc w:val="center"/>
      </w:pPr>
      <w:r>
        <w:rPr>
          <w:rFonts w:ascii="Lato" w:cs="Lato" w:eastAsia="Lato" w:hAnsi="Lato"/>
          <w:b w:val="false"/>
          <w:bCs w:val="false"/>
          <w:color w:val="1A214D"/>
          <w:sz w:val="19"/>
          <w:szCs w:val="19"/>
        </w:rPr>
        <w:t xml:space="preserve">Highly confidential not to be shared without written consent</w:t>
      </w:r>
    </w:p>
    <w:p>
      <w:pPr>
        <w:spacing w:after="200"/>
      </w:pPr>
    </w:p>
    <w:p>
      <w:pPr>
        <w:spacing w:after="0"/>
        <w:jc w:val="center"/>
      </w:pPr>
      <w:r>
        <w:drawing>
          <wp:inline distT="0" distB="0" distL="0" distR="0">
            <wp:extent cx="5715000" cy="6762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50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64"/>
      <w:gridCol w:w="1354"/>
      <w:gridCol w:w="2708"/>
    </w:tblGrid>
    <w:tr>
      <w:tc>
        <w:tcPr>
          <w:tcW w:type="dxa" w:w="4964"/>
          <w:vAlign w:val="center"/>
        </w:tcPr>
        <w:p>
          <w:pPr>
            <w:spacing w:after="0" w:before="0" w:line="216"/>
          </w:pPr>
          <w:r>
            <w:rPr>
              <w:rFonts w:ascii="Lato" w:cs="Lato" w:eastAsia="Lato" w:hAnsi="Lato"/>
              <w:b/>
              <w:bCs/>
              <w:color w:val="1A214D"/>
              <w:sz w:val="15"/>
              <w:szCs w:val="15"/>
            </w:rPr>
            <w:t xml:space="preserve">This is not a legally binding document</w:t>
          </w:r>
          <w:r>
            <w:rPr>
              <w:rFonts w:ascii="Lato" w:cs="Lato" w:eastAsia="Lato" w:hAnsi="Lato"/>
              <w:b/>
              <w:bCs/>
              <w:color w:val="1A214D"/>
              <w:sz w:val="15"/>
              <w:szCs w:val="15"/>
            </w:rPr>
            <w:br/>
            <w:t xml:space="preserve">Highly confidential not to be shared without written consent</w:t>
          </w:r>
        </w:p>
      </w:tc>
      <w:tc>
        <w:tcPr>
          <w:tcW w:type="dxa" w:w="1354"/>
          <w:vAlign w:val="center"/>
        </w:tcPr>
        <w:p>
          <w:pPr>
            <w:spacing w:after="0" w:before="0"/>
            <w:jc w:val="center"/>
          </w:pPr>
          <w:r>
            <w:rPr>
              <w:rFonts w:ascii="Lato" w:cs="Lato" w:eastAsia="Lato" w:hAnsi="Lato"/>
              <w:color w:val="1A214D"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2708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14400" cy="180975"/>
                <wp:effectExtent t="0" r="0" b="0" l="0"/>
                <wp:docPr id="2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18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13"/>
      <w:gridCol w:w="4513"/>
    </w:tblGrid>
    <w:tr>
      <w:tc>
        <w:tcPr>
          <w:tcW w:type="dxa" w:w="4513"/>
          <w:vAlign w:val="center"/>
        </w:tcPr>
        <w:p>
          <w:pPr>
            <w:spacing w:after="0" w:before="0"/>
          </w:pPr>
          <w:r>
            <w:rPr>
              <w:rFonts w:ascii="Lato" w:cs="Lato" w:eastAsia="Lato" w:hAnsi="Lato"/>
              <w:color w:val="1A214D"/>
              <w:sz w:val="18"/>
              <w:szCs w:val="18"/>
            </w:rPr>
            <w:t xml:space="preserve">Confidential</w:t>
          </w:r>
        </w:p>
      </w:tc>
      <w:tc>
        <w:tcPr>
          <w:tcW w:type="dxa" w:w="4513"/>
          <w:vAlign w:val="center"/>
        </w:tcPr>
        <w:p>
          <w:pPr>
            <w:spacing w:after="0" w:before="0"/>
            <w:jc w:val="right"/>
          </w:pPr>
          <w:r>
            <w:drawing>
              <wp:inline distT="0" distB="0" distL="0" distR="0">
                <wp:extent cx="952500" cy="285750"/>
                <wp:effectExtent t="0" r="0" b="0" l="0"/>
                <wp:docPr id="20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214D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f7f58707dd27c556f85cbf2c7925f29658baa0d.png"/><Relationship Id="rId10" Type="http://schemas.openxmlformats.org/officeDocument/2006/relationships/image" Target="media/ee85f6ba4ac8e38a12e73211a55e1c42fbc8f1f6.png"/><Relationship Id="rId11" Type="http://schemas.openxmlformats.org/officeDocument/2006/relationships/image" Target="media/b277ccb406c856a7fa3dde452918104f11aad811.png"/><Relationship Id="rId12" Type="http://schemas.openxmlformats.org/officeDocument/2006/relationships/image" Target="media/0f143d1722c3167a83a9d5411fbfc67787ac9cde.png"/><Relationship Id="rId13" Type="http://schemas.openxmlformats.org/officeDocument/2006/relationships/image" Target="media/e83252edad1cc8d0b76827c17f093d915667c324.png"/><Relationship Id="rId14" Type="http://schemas.openxmlformats.org/officeDocument/2006/relationships/image" Target="media/a129e0adf99c4f793f8ca8f4187c20de032f5d54.png"/><Relationship Id="rId15" Type="http://schemas.openxmlformats.org/officeDocument/2006/relationships/image" Target="media/16b98cad15d7726f3a8b30e1002528abb4174cca.png"/><Relationship Id="rId16" Type="http://schemas.openxmlformats.org/officeDocument/2006/relationships/image" Target="media/ad071a559a6c9c0623b0a795fffb0db639cb6f90.png"/><Relationship Id="rId17" Type="http://schemas.openxmlformats.org/officeDocument/2006/relationships/image" Target="media/035d13d98c5fe5039696c98634bae171058c0b3e.png"/><Relationship Id="rId18" Type="http://schemas.openxmlformats.org/officeDocument/2006/relationships/image" Target="media/8853feaded91c59f732e224759264bca6eddbd86.png"/><Relationship Id="rId19" Type="http://schemas.openxmlformats.org/officeDocument/2006/relationships/image" Target="media/af6baa41b51840fe23ba87a7136630b9a40491ad.png"/><Relationship Id="rId20" Type="http://schemas.openxmlformats.org/officeDocument/2006/relationships/image" Target="media/9a57f64bed8d46f31af9de485ceecef9022283ce.png"/><Relationship Id="rId21" Type="http://schemas.openxmlformats.org/officeDocument/2006/relationships/image" Target="media/d6aad7696761111ee541c15901235b333ec66f43.png"/><Relationship Id="rId22" Type="http://schemas.openxmlformats.org/officeDocument/2006/relationships/image" Target="media/550b229c093d01e880e3d39f3fcac48d21e3f1e8.png"/><Relationship Id="rId23" Type="http://schemas.openxmlformats.org/officeDocument/2006/relationships/image" Target="media/1c95c4cb28e315e7f80444edce98f06a69bac8fb.png"/><Relationship Id="rId24" Type="http://schemas.openxmlformats.org/officeDocument/2006/relationships/image" Target="media/0c051ad4359cbecc92709f2685c00afa036599d2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21e03be648ff4188e6db5e1ce2152e7598743b22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5f7e94444dc47aed53453246ef11472da2b80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Employer Name Edit in Credit Queue V1.0</dc:title>
  <dc:creator>Appro</dc:creator>
  <cp:lastModifiedBy>Un-named</cp:lastModifiedBy>
  <cp:revision>1</cp:revision>
  <dcterms:created xsi:type="dcterms:W3CDTF">2026-09-30T04:32:36.321Z</dcterms:created>
  <dcterms:modified xsi:type="dcterms:W3CDTF">2026-09-30T04:32:36.321Z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