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60"/>
        <w:jc w:val="center"/>
      </w:pPr>
      <w:r>
        <w:rPr>
          <w:rFonts w:ascii="Arial" w:cs="Arial" w:eastAsia="Arial" w:hAnsi="Arial"/>
          <w:b/>
          <w:bCs/>
          <w:color w:val="3B7EF6"/>
          <w:sz w:val="44"/>
          <w:szCs w:val="44"/>
        </w:rPr>
        <w:t xml:space="preserve">V1.0</w:t>
      </w:r>
    </w:p>
    <w:p>
      <w:pPr>
        <w:spacing w:after="200"/>
        <w:jc w:val="center"/>
      </w:pPr>
      <w:r>
        <w:rPr>
          <w:rFonts w:ascii="Arial" w:cs="Arial" w:eastAsia="Arial" w:hAnsi="Arial"/>
          <w:color w:val="595959"/>
          <w:sz w:val="22"/>
          <w:szCs w:val="22"/>
        </w:rPr>
        <w:t xml:space="preserve">19 September 2026</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The </w:t>
      </w:r>
      <w:r>
        <w:rPr>
          <w:rFonts w:ascii="Arial" w:cs="Arial" w:eastAsia="Arial" w:hAnsi="Arial"/>
          <w:b/>
          <w:bCs/>
          <w:color w:val="000000"/>
          <w:sz w:val="22"/>
          <w:szCs w:val="22"/>
        </w:rPr>
        <w:t xml:space="preserve">in-scope rejection cases</w:t>
      </w:r>
      <w:r>
        <w:rPr>
          <w:rFonts w:ascii="Arial" w:cs="Arial" w:eastAsia="Arial" w:hAnsi="Arial"/>
          <w:b w:val="false"/>
          <w:bCs w:val="false"/>
          <w:color w:val="000000"/>
          <w:sz w:val="22"/>
          <w:szCs w:val="22"/>
        </w:rPr>
        <w:t xml:space="preserve"> are exactly the following five:</w:t>
      </w:r>
    </w:p>
    <w:p>
      <w:pPr>
        <w:pStyle w:val="ListParagraph"/>
        <w:numPr>
          <w:ilvl w:val="0"/>
          <w:numId w:val="1"/>
        </w:numPr>
        <w:spacing w:after="80" w:before="30" w:line="264"/>
      </w:pPr>
      <w:r>
        <w:rPr>
          <w:rFonts w:ascii="Arial" w:cs="Arial" w:eastAsia="Arial" w:hAnsi="Arial"/>
          <w:b/>
          <w:bCs/>
          <w:color w:val="000000"/>
          <w:sz w:val="22"/>
          <w:szCs w:val="22"/>
        </w:rPr>
        <w:t xml:space="preserve">R1</w:t>
      </w:r>
      <w:r>
        <w:rPr>
          <w:rFonts w:ascii="Arial" w:cs="Arial" w:eastAsia="Arial" w:hAnsi="Arial"/>
          <w:b w:val="false"/>
          <w:bCs w:val="false"/>
          <w:color w:val="000000"/>
          <w:sz w:val="22"/>
          <w:szCs w:val="22"/>
        </w:rPr>
        <w:t xml:space="preserve"> — Rejected by </w:t>
      </w:r>
      <w:r>
        <w:rPr>
          <w:rFonts w:ascii="Arial" w:cs="Arial" w:eastAsia="Arial" w:hAnsi="Arial"/>
          <w:b/>
          <w:bCs/>
          <w:color w:val="000000"/>
          <w:sz w:val="22"/>
          <w:szCs w:val="22"/>
        </w:rPr>
        <w:t xml:space="preserve">Credit user</w:t>
      </w:r>
      <w:r>
        <w:rPr>
          <w:rFonts w:ascii="Arial" w:cs="Arial" w:eastAsia="Arial" w:hAnsi="Arial"/>
          <w:b w:val="false"/>
          <w:bCs w:val="false"/>
          <w:color w:val="000000"/>
          <w:sz w:val="22"/>
          <w:szCs w:val="22"/>
        </w:rPr>
        <w:t xml:space="preserve"> in Credit Queue (L1–L3).</w:t>
      </w:r>
    </w:p>
    <w:p>
      <w:pPr>
        <w:pStyle w:val="ListParagraph"/>
        <w:numPr>
          <w:ilvl w:val="0"/>
          <w:numId w:val="1"/>
        </w:numPr>
        <w:spacing w:after="80" w:before="30" w:line="264"/>
      </w:pPr>
      <w:r>
        <w:rPr>
          <w:rFonts w:ascii="Arial" w:cs="Arial" w:eastAsia="Arial" w:hAnsi="Arial"/>
          <w:b/>
          <w:bCs/>
          <w:color w:val="000000"/>
          <w:sz w:val="22"/>
          <w:szCs w:val="22"/>
        </w:rPr>
        <w:t xml:space="preserve">R2</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w:t>
      </w:r>
      <w:r>
        <w:rPr>
          <w:rFonts w:ascii="Arial" w:cs="Arial" w:eastAsia="Arial" w:hAnsi="Arial"/>
          <w:i/>
          <w:iCs/>
          <w:color w:val="000000"/>
          <w:sz w:val="22"/>
          <w:szCs w:val="22"/>
        </w:rPr>
        <w:t xml:space="preserve">(parked into Credit Queue L1 under this change; a subsequent Credit rejection is then revertible as R1)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R3</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(same parking treatment as R2)</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R4</w:t>
      </w:r>
      <w:r>
        <w:rPr>
          <w:rFonts w:ascii="Arial" w:cs="Arial" w:eastAsia="Arial" w:hAnsi="Arial"/>
          <w:b w:val="false"/>
          <w:bCs w:val="false"/>
          <w:color w:val="000000"/>
          <w:sz w:val="22"/>
          <w:szCs w:val="22"/>
        </w:rPr>
        <w:t xml:space="preserve"> — Auto-rejected by System: application </w:t>
      </w:r>
      <w:r>
        <w:rPr>
          <w:rFonts w:ascii="Arial" w:cs="Arial" w:eastAsia="Arial" w:hAnsi="Arial"/>
          <w:b/>
          <w:bCs/>
          <w:color w:val="000000"/>
          <w:sz w:val="22"/>
          <w:szCs w:val="22"/>
        </w:rPr>
        <w:t xml:space="preserve">fails all segmentations</w:t>
      </w:r>
      <w:r>
        <w:rPr>
          <w:rFonts w:ascii="Arial" w:cs="Arial" w:eastAsia="Arial" w:hAnsi="Arial"/>
          <w:b w:val="false"/>
          <w:bCs w:val="false"/>
          <w:color w:val="000000"/>
          <w:sz w:val="22"/>
          <w:szCs w:val="22"/>
        </w:rPr>
        <w:t xml:space="preserve"> (rejection logic unchanged).</w:t>
      </w:r>
    </w:p>
    <w:p>
      <w:pPr>
        <w:pStyle w:val="ListParagraph"/>
        <w:numPr>
          <w:ilvl w:val="0"/>
          <w:numId w:val="1"/>
        </w:numPr>
        <w:spacing w:after="80" w:before="30" w:line="264"/>
      </w:pPr>
      <w:r>
        <w:rPr>
          <w:rFonts w:ascii="Arial" w:cs="Arial" w:eastAsia="Arial" w:hAnsi="Arial"/>
          <w:b/>
          <w:bCs/>
          <w:color w:val="000000"/>
          <w:sz w:val="22"/>
          <w:szCs w:val="22"/>
        </w:rPr>
        <w:t xml:space="preserve">R5</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approved limit below Min Boundary</w:t>
      </w:r>
      <w:r>
        <w:rPr>
          <w:rFonts w:ascii="Arial" w:cs="Arial" w:eastAsia="Arial" w:hAnsi="Arial"/>
          <w:b w:val="false"/>
          <w:bCs w:val="false"/>
          <w:color w:val="000000"/>
          <w:sz w:val="22"/>
          <w:szCs w:val="22"/>
        </w:rPr>
        <w:t xml:space="preserve">, no deviation (rejection logic unchanged).</w:t>
      </w:r>
    </w:p>
    <w:p>
      <w:pPr>
        <w:spacing w:after="120" w:before="40" w:line="264"/>
      </w:pPr>
      <w:r>
        <w:rPr>
          <w:rFonts w:ascii="Arial" w:cs="Arial" w:eastAsia="Arial" w:hAnsi="Arial"/>
          <w:b/>
          <w:bCs/>
          <w:color w:val="000000"/>
          <w:sz w:val="22"/>
          <w:szCs w:val="22"/>
        </w:rPr>
        <w:t xml:space="preserve">Not revertible:</w:t>
      </w:r>
      <w:r>
        <w:rPr>
          <w:rFonts w:ascii="Arial" w:cs="Arial" w:eastAsia="Arial" w:hAnsi="Arial"/>
          <w:b w:val="false"/>
          <w:bCs w:val="false"/>
          <w:color w:val="000000"/>
          <w:sz w:val="22"/>
          <w:szCs w:val="22"/>
        </w:rPr>
        <w:t xml:space="preserve"> rejections by Compliance Queue, Risk Queue or Sale Queue (no Credit root cause), and pre-decision terminations (pre-dedupe, no applicable product, AML, geo-fencing, EID-scan, EFR liveness) — see the restriction table below.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 revert process'</w:t>
      </w:r>
      <w:r>
        <w:rPr>
          <w:rFonts w:ascii="Arial" w:cs="Arial" w:eastAsia="Arial" w:hAnsi="Arial"/>
          <w:b w:val="false"/>
          <w:bCs w:val="false"/>
          <w:color w:val="000000"/>
          <w:sz w:val="22"/>
          <w:szCs w:val="22"/>
        </w:rPr>
        <w:t xml:space="preserve">, State = 'Rejected',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 — mirroring the Termination Queue used for manual cancellation. The Checker view is read-only apart from the decision: no Edit, Override, Send Application or FTS Retrigger is offered there.</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Two role permissions are available per product ([Credit Card] / [Personal Loan]) — View Application &amp; Evaluate Application: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w:t>
      </w:r>
      <w:r>
        <w:rPr>
          <w:rFonts w:ascii="Arial" w:cs="Arial" w:eastAsia="Arial" w:hAnsi="Arial"/>
          <w:b w:val="false"/>
          <w:bCs w:val="false"/>
          <w:color w:val="000000"/>
          <w:sz w:val="22"/>
          <w:szCs w:val="22"/>
        </w:rPr>
        <w:t xml:space="preserve"> the application is in-flight again in a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If the customer resumes the journey, they must land at the correct point — regression required on resume behaviour.</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 exactly one email (Credit User note):</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When the re-assessment completes, the system sends the client </w:t>
      </w:r>
      <w:r>
        <w:rPr>
          <w:rFonts w:ascii="Arial" w:cs="Arial" w:eastAsia="Arial" w:hAnsi="Arial"/>
          <w:b/>
          <w:bCs/>
          <w:color w:val="000000"/>
          <w:sz w:val="22"/>
          <w:szCs w:val="22"/>
        </w:rPr>
        <w:t xml:space="preserve">exactly one email</w:t>
      </w:r>
      <w:r>
        <w:rPr>
          <w:rFonts w:ascii="Arial" w:cs="Arial" w:eastAsia="Arial" w:hAnsi="Arial"/>
          <w:b w:val="false"/>
          <w:bCs w:val="false"/>
          <w:color w:val="000000"/>
          <w:sz w:val="22"/>
          <w:szCs w:val="22"/>
        </w:rPr>
        <w:t xml:space="preserve">, whether the outcome is Approve or Reject: on approval, the Email (Client) template below — the same message as a normally approved application; on a repeat rejection, the standard rejection notification, and the 30-day window restarts. The reopened run must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double-send decision notifications to the client (the original rejection email has already gone out once).</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Following a further review of your %%PRODUCT_TYPE%% application %%APPLICATION_ID%%, we are pleased to inform you that your application has been approved. No action is required from your side — we will be in touch with the next steps to complete your application. Thank you for choosing Reem Bank.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when an application reopened via an approved revert is approved after re-assessment. Exactly one client email per re-assessment decision (on a repeat rejection, the standard rejection notification is sent instead — one email either way). Newly added in Communication Setup, mirroring the standard approval message.</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edits credit parameters, then approves, overrides or rejects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on approval the customer receives the approval communication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715"/>
        <w:gridCol w:w="4062"/>
        <w:gridCol w:w="3249"/>
      </w:tblGrid>
      <w:tr>
        <w:trPr>
          <w:cantSplit/>
          <w:tblHeader/>
        </w:trPr>
        <w:tc>
          <w:tcPr>
            <w:tcW w:type="dxa" w:w="17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406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c>
          <w:tcPr>
            <w:tcW w:type="dxa" w:w="3249"/>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Screen</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Six new permission entries, per product: [CC]/[PL] × 'Revert Application' (Enquiry &gt; Application Enquiry) and [CC]/[PL] × View / Evaluate Application (Manually Queue &gt; Revert Queue). Each is a distinct right — bundling permissions that cover different actions has previously required production hotfixes. The Permission Matrix reference page must be updated.</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9750" cy="4953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Role Management › Application Enquiry (SC1)</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 The new parking drop points must be aligned with the drop-point / Failed Reason updates currently in delivery, and the DBR thresholds with the in-flight two-DBR calculation change.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09750" cy="82867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Queue menu — Revert Queue (SC4)</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51435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Status transition on approved revert</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 revert process', 'Revert Queue', 'Auto Revert Approval on timeout' (mirroring cancellation's 'Auto Cancellation on timeout') — each writing the full standard field set. The original rejection record is never modified. Revertibility is derived from the audit step recorded at rejection, so the known defect in the audit trail written for Financial-DBR rejections must be resolved before this feature relies on it.</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09750" cy="4667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Application history steps — Application Enquiry</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Three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one </w:t>
            </w:r>
            <w:r>
              <w:rPr>
                <w:rFonts w:ascii="Arial" w:cs="Arial" w:eastAsia="Arial" w:hAnsi="Arial"/>
                <w:b/>
                <w:bCs/>
                <w:color w:val="000000"/>
                <w:sz w:val="21"/>
                <w:szCs w:val="21"/>
              </w:rPr>
              <w:t xml:space="preserve">Email (Client)</w:t>
            </w:r>
            <w:r>
              <w:rPr>
                <w:rFonts w:ascii="Arial" w:cs="Arial" w:eastAsia="Arial" w:hAnsi="Arial"/>
                <w:b w:val="false"/>
                <w:bCs w:val="false"/>
                <w:color w:val="000000"/>
                <w:sz w:val="21"/>
                <w:szCs w:val="21"/>
              </w:rPr>
              <w:t xml:space="preserve"> template (approval after re-assessment, mirroring the standard approval message — section 6). English, banking tone, signing off as Reem Bank. </w:t>
            </w:r>
            <w:r>
              <w:rPr>
                <w:rFonts w:ascii="Arial" w:cs="Arial" w:eastAsia="Arial" w:hAnsi="Arial"/>
                <w:b/>
                <w:bCs/>
                <w:color w:val="000000"/>
                <w:sz w:val="21"/>
                <w:szCs w:val="21"/>
              </w:rPr>
              <w:t xml:space="preserve">Exactly one client email per re-assessment decision</w:t>
            </w:r>
            <w:r>
              <w:rPr>
                <w:rFonts w:ascii="Arial" w:cs="Arial" w:eastAsia="Arial" w:hAnsi="Arial"/>
                <w:b w:val="false"/>
                <w:bCs w:val="false"/>
                <w:color w:val="000000"/>
                <w:sz w:val="21"/>
                <w:szCs w:val="21"/>
              </w:rPr>
              <w:t xml:space="preserve"> — Approve or Reject — with duplicate decision notifications suppressed on the reopened run. The Compliance / Risk reject confirmation texts stay as they are — those rejections remain non-revertible.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09750" cy="6953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Communication Setup › Email Templates — Type: Client / Bank</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WIP, Exception, Policy Exception, E2E and Approved Transactions reports must handle reopened cases: rejection counts become mutable, E2E must not double-count the second pass, and an approval after revert should be identifiable as such.</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09750" cy="4572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Enquiry › Report Enquiry</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Services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backoffice-service, application-service, queue-service, user-service, audit-trail-service, notification-service, scheduler-service (timeout job) and work-flow-service. The workflow engine is the key estimation item: a rejected application’s process instance has ended, and reverting requires resuming it or re-instantiating at the queue task.</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8096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Services touched — workflow engine is the key item</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policy versioning</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Post-revert re-decisioning evaluates against the currently published Strategy / Score Check / Income Multiplier versions — which is the point of the feature — and the audit trail should record which published version was applied.</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101917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Strategies › Versions / Audit Trails menu</w:t>
            </w:r>
          </w:p>
        </w:tc>
      </w:tr>
    </w:tbl>
    <w:p>
      <w:pPr>
        <w:pStyle w:val="Heading1"/>
        <w:spacing w:after="140" w:before="300"/>
      </w:pPr>
      <w:r>
        <w:rPr>
          <w:rFonts w:ascii="Arial" w:cs="Arial" w:eastAsia="Arial" w:hAnsi="Arial"/>
          <w:b/>
          <w:bCs/>
          <w:color w:val="000000"/>
          <w:sz w:val="26"/>
          <w:szCs w:val="26"/>
        </w:rPr>
        <w:t xml:space="preserve">OPEN QUESTIONS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848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848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Question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Workflow engine (technical — parked for engineering estimation): can the terminated process instance be resumed, or must a new instance start at the queue task?</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timeout period [X] — 5 days proposed, configurable in database, same as the cancellation timeout (RF source: currently set to 5 days).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Revert_App flag with Application Status remaining “Rejected”, in preference to a new ‘User Initiated Revert’ status (zero mobile-app impact).</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11f99f49325082d7c3e01ecb82bd155b434dee70.png"/><Relationship Id="rId18" Type="http://schemas.openxmlformats.org/officeDocument/2006/relationships/image" Target="media/a5b89ef3b91e5a4cbccde42d2764233e37a305fe.png"/><Relationship Id="rId19" Type="http://schemas.openxmlformats.org/officeDocument/2006/relationships/image" Target="media/c6a9cce59a85fbb1ad2f2e3a85a8437bfc7afe41.png"/><Relationship Id="rId20" Type="http://schemas.openxmlformats.org/officeDocument/2006/relationships/image" Target="media/5d866e52026fdcddd358f748ccf6e04786517104.png"/><Relationship Id="rId21" Type="http://schemas.openxmlformats.org/officeDocument/2006/relationships/image" Target="media/11f7a44669d2de6a90172f26413f99974f382b79.png"/><Relationship Id="rId22" Type="http://schemas.openxmlformats.org/officeDocument/2006/relationships/image" Target="media/6f347a53f6fa948466a62454804cac98ab0fa6a3.png"/><Relationship Id="rId23" Type="http://schemas.openxmlformats.org/officeDocument/2006/relationships/image" Target="media/06a254907e8fb84cf802c0a6dee2f11d3eda0218.png"/><Relationship Id="rId24" Type="http://schemas.openxmlformats.org/officeDocument/2006/relationships/image" Target="media/6b6cdd1b35fdc89ebe625da146779918d03a01fe.png"/><Relationship Id="rId25" Type="http://schemas.openxmlformats.org/officeDocument/2006/relationships/image" Target="media/f42b6fbfe7828148da2c77857f995715d42b3e7b.png"/><Relationship Id="rId26" Type="http://schemas.openxmlformats.org/officeDocument/2006/relationships/image" Target="media/550b229c093d01e880e3d39f3fcac48d21e3f1e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cp:lastModifiedBy>Un-named</cp:lastModifiedBy>
  <cp:revision>1</cp:revision>
  <dcterms:created xsi:type="dcterms:W3CDTF">2026-09-19T11:23:19.318Z</dcterms:created>
  <dcterms:modified xsi:type="dcterms:W3CDTF">2026-09-19T11:23:19.319Z</dcterms:modified>
</cp:coreProperties>
</file>

<file path=docProps/custom.xml><?xml version="1.0" encoding="utf-8"?>
<Properties xmlns="http://schemas.openxmlformats.org/officeDocument/2006/custom-properties" xmlns:vt="http://schemas.openxmlformats.org/officeDocument/2006/docPropsVTypes"/>
</file>