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200"/>
        <w:jc w:val="center"/>
      </w:pPr>
      <w:r>
        <w:rPr>
          <w:rFonts w:ascii="Arial" w:cs="Arial" w:eastAsia="Arial" w:hAnsi="Arial"/>
          <w:b/>
          <w:bCs/>
          <w:color w:val="3B7EF6"/>
          <w:sz w:val="44"/>
          <w:szCs w:val="44"/>
        </w:rPr>
        <w:t xml:space="preserve">V1.0</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'[Product] Revert Application'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returns to its target queue.</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user in Compliance Queue (L1–L2)</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Compliance Review' — Compliance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Risk user in Risk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Risk Review' — Risk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6</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revert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User Initiated Cancellation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r>
        <w:br w:type="page"/>
      </w:r>
    </w:p>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 — </w:t>
      </w:r>
      <w:r>
        <w:rPr>
          <w:rFonts w:ascii="Arial" w:cs="Arial" w:eastAsia="Arial" w:hAnsi="Arial"/>
          <w:b/>
          <w:bCs/>
          <w:color w:val="000000"/>
          <w:sz w:val="22"/>
          <w:szCs w:val="22"/>
        </w:rPr>
        <w:t xml:space="preserve">per product tab</w:t>
      </w:r>
      <w:r>
        <w:rPr>
          <w:rFonts w:ascii="Arial" w:cs="Arial" w:eastAsia="Arial" w:hAnsi="Arial"/>
          <w:b w:val="false"/>
          <w:bCs w:val="false"/>
          <w:color w:val="000000"/>
          <w:sz w:val="22"/>
          <w:szCs w:val="22"/>
        </w:rPr>
        <w:t xml:space="preserve">, alongside the existing 'View Application' and 'Cancel Application' permissions: '[Credit Card] Revert Application' and '[Personal Loan] Revert Application'.</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Card]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Credit Card applications. It indicates whether the role holder can request application reverts.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[Personal Loan] 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Selectable checkbox to grant or revoke the 'Revert Application' permission for Personal Loan applications.</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Descriptive label shown alongside each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for that product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[Product] 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request is already pending.</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'[Product] Revert Application'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Re-entry is always at </w:t>
      </w:r>
      <w:r>
        <w:rPr>
          <w:rFonts w:ascii="Arial" w:cs="Arial" w:eastAsia="Arial" w:hAnsi="Arial"/>
          <w:b/>
          <w:bCs/>
          <w:color w:val="000000"/>
          <w:sz w:val="22"/>
          <w:szCs w:val="22"/>
        </w:rPr>
        <w:t xml:space="preserve">Level 1</w:t>
      </w:r>
      <w:r>
        <w:rPr>
          <w:rFonts w:ascii="Arial" w:cs="Arial" w:eastAsia="Arial" w:hAnsi="Arial"/>
          <w:b w:val="false"/>
          <w:bCs w:val="false"/>
          <w:color w:val="000000"/>
          <w:sz w:val="22"/>
          <w:szCs w:val="22"/>
        </w:rPr>
        <w:t xml:space="preserve"> of the target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 revert process'</w:t>
      </w:r>
      <w:r>
        <w:rPr>
          <w:rFonts w:ascii="Arial" w:cs="Arial" w:eastAsia="Arial" w:hAnsi="Arial"/>
          <w:b w:val="false"/>
          <w:bCs w:val="false"/>
          <w:color w:val="000000"/>
          <w:sz w:val="22"/>
          <w:szCs w:val="22"/>
        </w:rPr>
        <w:t xml:space="preserve">, State = 'Rejected', Step Status = 'Successful', Step Details = </w:t>
      </w:r>
      <w:r>
        <w:rPr>
          <w:rFonts w:ascii="Arial" w:cs="Arial" w:eastAsia="Arial" w:hAnsi="Arial"/>
          <w:b/>
          <w:bCs/>
          <w:color w:val="000000"/>
          <w:sz w:val="22"/>
          <w:szCs w:val="22"/>
        </w:rPr>
        <w:t xml:space="preserve">'Revert requested by %Username% to &lt;TARGET_QUEUE&gt;.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 — mirroring the Termination Queue used for manual cancellation. The Checker view is read-only apart from the decision: no Edit, Override, Send Application or FTS Retrigger is offered there.</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Two role permissions are available per product ([Credit Card] / [Personal Loan]) — View Application &amp; Evaluate Application: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 for that product.</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pStyle w:val="Heading2"/>
        <w:spacing w:after="120" w:before="240"/>
      </w:pPr>
      <w:r>
        <w:rPr>
          <w:rFonts w:ascii="Arial" w:cs="Arial" w:eastAsia="Arial" w:hAnsi="Arial"/>
          <w:b/>
          <w:bCs/>
          <w:color w:val="000000"/>
          <w:sz w:val="22"/>
          <w:szCs w:val="22"/>
        </w:rPr>
        <w:t xml:space="preserve">4.3. Approve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 </w:t>
      </w:r>
      <w:r>
        <w:rPr>
          <w:rFonts w:ascii="Arial" w:cs="Arial" w:eastAsia="Arial" w:hAnsi="Arial"/>
          <w:b/>
          <w:bCs/>
          <w:color w:val="000000"/>
          <w:sz w:val="22"/>
          <w:szCs w:val="22"/>
        </w:rPr>
        <w:t xml:space="preserve">&lt;TARGET_STATUS&gt;</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&lt;TARGET_QUEUE&gt;</w:t>
      </w:r>
      <w:r>
        <w:rPr>
          <w:rFonts w:ascii="Arial" w:cs="Arial" w:eastAsia="Arial" w:hAnsi="Arial"/>
          <w:b w:val="false"/>
          <w:bCs w:val="false"/>
          <w:color w:val="000000"/>
          <w:sz w:val="22"/>
          <w:szCs w:val="22"/>
        </w:rPr>
        <w:t xml:space="preserve"> at Level 1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&lt;TARGET_STATUS&gt;, Step Detail = 'Application revert requested by “%Username%” and approved by “%Username%”. Application returned to &lt;TARGET_QUEUE&gt;',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93"/>
        <w:gridCol w:w="2257"/>
        <w:gridCol w:w="3701"/>
        <w:gridCol w:w="2075"/>
      </w:tblGrid>
      <w:tr>
        <w:trPr>
          <w:cantSplit/>
          <w:tblHeader/>
        </w:trPr>
        <w:tc>
          <w:tcPr>
            <w:tcW w:type="dxa" w:w="99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225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70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99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w:t>
            </w:r>
          </w:p>
        </w:tc>
        <w:tc>
          <w:tcPr>
            <w:tcW w:type="dxa" w:w="225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70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has been returned to %%TARGET_STATUS%%. Best Regards, Reem Bank</w:t>
            </w:r>
          </w:p>
        </w:tc>
        <w:tc>
          <w:tcPr>
            <w:tcW w:type="dxa" w:w="207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93"/>
        <w:gridCol w:w="2257"/>
        <w:gridCol w:w="3701"/>
        <w:gridCol w:w="2075"/>
      </w:tblGrid>
      <w:tr>
        <w:trPr>
          <w:cantSplit/>
          <w:tblHeader/>
        </w:trPr>
        <w:tc>
          <w:tcPr>
            <w:tcW w:type="dxa" w:w="99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225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70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99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w:t>
            </w:r>
          </w:p>
        </w:tc>
        <w:tc>
          <w:tcPr>
            <w:tcW w:type="dxa" w:w="225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70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returned to &lt;TARGET_STATUS&gt; in &lt;TARGET_QUEUE&gt;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The application returns to &lt;TARGET_STATUS&gt; in &lt;TARGET_QUEUE&gt; at Level 1, Revert_App = FALSE, and it is removed from the Revert Queue. Audit trail is captured with: Step = ‘Auto Revert Approval on timeout’, State = &lt;TARGET_STATUS&gt;, Step Detail = ‘Application revert requested by “%Username%” and approved by System, as per approval timeout configuration of [X] days. Application returned to &lt;TARGET_QUEUE&gt;’, Action by = &lt;System&gt;. Email notification is sent to the bank user who requested the revert — same email as in 4.3.</w:t>
            </w:r>
          </w:p>
        </w:tc>
      </w:tr>
    </w:tbl>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status an application is reverted </w:t>
      </w:r>
      <w:r>
        <w:rPr>
          <w:rFonts w:ascii="Arial" w:cs="Arial" w:eastAsia="Arial" w:hAnsi="Arial"/>
          <w:b/>
          <w:bCs/>
          <w:color w:val="000000"/>
          <w:sz w:val="22"/>
          <w:szCs w:val="22"/>
        </w:rPr>
        <w:t xml:space="preserve">to</w:t>
      </w:r>
      <w:r>
        <w:rPr>
          <w:rFonts w:ascii="Arial" w:cs="Arial" w:eastAsia="Arial" w:hAnsi="Arial"/>
          <w:b w:val="false"/>
          <w:bCs w:val="false"/>
          <w:color w:val="000000"/>
          <w:sz w:val="22"/>
          <w:szCs w:val="22"/>
        </w:rPr>
        <w:t xml:space="preserve">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it from the audit step recorded at the point of rejection, and resolves it when the request is raised. Re-entry is </w:t>
      </w:r>
      <w:r>
        <w:rPr>
          <w:rFonts w:ascii="Arial" w:cs="Arial" w:eastAsia="Arial" w:hAnsi="Arial"/>
          <w:b/>
          <w:bCs/>
          <w:color w:val="000000"/>
          <w:sz w:val="22"/>
          <w:szCs w:val="22"/>
        </w:rPr>
        <w:t xml:space="preserve">always at Level 1</w:t>
      </w:r>
      <w:r>
        <w:rPr>
          <w:rFonts w:ascii="Arial" w:cs="Arial" w:eastAsia="Arial" w:hAnsi="Arial"/>
          <w:b w:val="false"/>
          <w:bCs w:val="false"/>
          <w:color w:val="000000"/>
          <w:sz w:val="22"/>
          <w:szCs w:val="22"/>
        </w:rPr>
        <w:t xml:space="preserve"> of the target queue, regardless of the level the rejection occurred at;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Compliance Review — Compliance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Risk Review — Risk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TBC</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Sales Response (Open Questions #4)</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Existing DBR &gt; 50% after calculation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DBR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w:t>
      </w:r>
      <w:r>
        <w:rPr>
          <w:rFonts w:ascii="Arial" w:cs="Arial" w:eastAsia="Arial" w:hAnsi="Arial"/>
          <w:b w:val="false"/>
          <w:bCs w:val="false"/>
          <w:color w:val="000000"/>
          <w:sz w:val="22"/>
          <w:szCs w:val="22"/>
        </w:rPr>
        <w:t xml:space="preserve"> the application is in-flight again in a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If the customer resumes the journey, they must land at the correct point — regression required on resume behaviour.</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shall run from the </w:t>
      </w:r>
      <w:r>
        <w:rPr>
          <w:rFonts w:ascii="Arial" w:cs="Arial" w:eastAsia="Arial" w:hAnsi="Arial"/>
          <w:b/>
          <w:bCs/>
          <w:color w:val="000000"/>
          <w:sz w:val="22"/>
          <w:szCs w:val="22"/>
        </w:rPr>
        <w:t xml:space="preserve">latest</w:t>
      </w:r>
      <w:r>
        <w:rPr>
          <w:rFonts w:ascii="Arial" w:cs="Arial" w:eastAsia="Arial" w:hAnsi="Arial"/>
          <w:b w:val="false"/>
          <w:bCs w:val="false"/>
          <w:color w:val="000000"/>
          <w:sz w:val="22"/>
          <w:szCs w:val="22"/>
        </w:rPr>
        <w:t xml:space="preserve"> rejection (to be confirmed).</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w:t>
      </w:r>
      <w:r>
        <w:rPr>
          <w:rFonts w:ascii="Arial" w:cs="Arial" w:eastAsia="Arial" w:hAnsi="Arial"/>
          <w:b w:val="false"/>
          <w:bCs w:val="false"/>
          <w:color w:val="000000"/>
          <w:sz w:val="22"/>
          <w:szCs w:val="22"/>
        </w:rPr>
        <w:t xml:space="preserve"> the customer already received the rejection email at the point of decision. No customer notification of the reopen is proposed for v1 — the customer is informed again only when the re-decision completes (to be confirmed).</w:t>
      </w:r>
    </w:p>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&lt;Target Status&gt;</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the target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&lt;Target Status&gt;</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the target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 / Compliance / Risk)</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edits credit parameters, then approves, overrides or rejects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&lt;Target Status&gt;</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Six new permission entries, per product: [CC]/[PL] × 'Revert Application' (Enquiry &gt; Application Enquiry) and [CC]/[PL] × View / Evaluate Application (Manually Queue &gt; Revert Queue). Each is a distinct right — bundling permissions that cover different actions has previously required production hotfixes. The Permission Matrix reference page must be updated.</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target queue at L1), plus the DBR parking → Credit Queue L1, which increases Credit Queue volume for every breach — not only reverted cases. DBR-parked cases must carry the completed Rule Engine and Limit Assignment results into the queue view.</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 revert process', 'Revert Queue', 'Auto Revert Approval on timeout' — each writing the full standard field set. The original rejection record is never modified.</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Two new Bank-type email templates per product (approved / not approved), English only, signing off as Reem Bank. Existing queue-reject confirmation texts become inaccurate where rejection is revertible — Compliance currently reads “This action can not be revert” and Risk reads “the application will be terminated after you reject it!” — and must be re-worded.</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Reporting / MIS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WIP, Exception, Policy Exception, E2E and Approved Transactions reports must handle reopened cases: rejection counts become mutable, E2E must not double-count the second pass, and an approval after revert should be identifiable as such.</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Services</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backoffice-service, application-service, queue-service, user-service, audit-trail-service, notification-service, scheduler-service (timeout job) and work-flow-service. The workflow engine is the key estimation item: a rejected application’s process instance has ended, and reverting requires resuming it or re-instantiating at the queue task.</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policy versioning</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Post-revert re-decisioning evaluates against the currently published Strategy / Score Check / Income Multiplier versions — which is the point of the feature — and the audit trail should record which published version was applied.</w:t>
            </w:r>
          </w:p>
        </w:tc>
      </w:tr>
    </w:tbl>
    <w:p>
      <w:r>
        <w:br w:type="page"/>
      </w:r>
    </w:p>
    <w:p>
      <w:pPr>
        <w:pStyle w:val="Heading1"/>
        <w:spacing w:after="140" w:before="300"/>
      </w:pPr>
      <w:r>
        <w:rPr>
          <w:rFonts w:ascii="Arial" w:cs="Arial" w:eastAsia="Arial" w:hAnsi="Arial"/>
          <w:b/>
          <w:bCs/>
          <w:color w:val="000000"/>
          <w:sz w:val="26"/>
          <w:szCs w:val="26"/>
        </w:rPr>
        <w:t xml:space="preserve">OPEN QUESTIONS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848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848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Question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Workflow engine (technical — parked for engineering estimation): can the terminated process instance be resumed, or must a new instance start at the queue task?</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Is the Gross DBR &gt; 100% safety net also in scope for parking to Credit Queue, or does it remain a hard auto-rejection? (Existing DBR &gt; 50% parking is confirmed.)</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Revert_App flag with Application Status remaining “Rejected”, in preference to a new ‘User Initiated Revert’ status (zero mobile-app impact).</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Sale Queue rejections revertible to ‘Awaiting Sales Response’, or deliberately excluded?</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timeout period [X] — 5 days proposed, configurable in database, same as cancellation.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6</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Should the customer be notified when an application is reopened? (The rejection email has already been sent at the point of decision.)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7</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Does the 30-day re-application window restart from the latest rejection when a reverted application is rejected again?</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8</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Should the number of reverts per application, or a revert time window (e.g. within 30 days of rejection), be capped?</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9</w:t>
            </w:r>
          </w:p>
        </w:tc>
        <w:tc>
          <w:tcPr>
            <w:tcW w:type="dxa" w:w="848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 the revised wording for the Compliance / Risk reject confirmation messages once rejection becomes revertible.</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217411393e4c31ddce705a38fc827c2eca26cff6.png"/><Relationship Id="rId13" Type="http://schemas.openxmlformats.org/officeDocument/2006/relationships/image" Target="media/6bb809bbadea9f0d8a883f744c83a117dceb4abf.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11f99f49325082d7c3e01ecb82bd155b434dee7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V1.0</dc:title>
  <dc:creator>Appro</dc:creator>
  <cp:lastModifiedBy>Un-named</cp:lastModifiedBy>
  <cp:revision>1</cp:revision>
  <dcterms:created xsi:type="dcterms:W3CDTF">2026-09-18T05:35:09.762Z</dcterms:created>
  <dcterms:modified xsi:type="dcterms:W3CDTF">2026-09-18T05:35:09.768Z</dcterms:modified>
</cp:coreProperties>
</file>

<file path=docProps/custom.xml><?xml version="1.0" encoding="utf-8"?>
<Properties xmlns="http://schemas.openxmlformats.org/officeDocument/2006/custom-properties" xmlns:vt="http://schemas.openxmlformats.org/officeDocument/2006/docPropsVTypes"/>
</file>