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w:t>
      </w:r>
      <w:r>
        <w:rPr>
          <w:rFonts w:ascii="Arial" w:cs="Arial" w:eastAsia="Arial" w:hAnsi="Arial"/>
          <w:b w:val="false"/>
          <w:bCs w:val="false"/>
          <w:color w:val="6554C0"/>
          <w:sz w:val="22"/>
          <w:szCs w:val="22"/>
        </w:rPr>
        <w:t xml:space="preserve">Revert Application</w:t>
      </w:r>
      <w:r>
        <w:rPr>
          <w:rFonts w:ascii="Arial" w:cs="Arial" w:eastAsia="Arial" w:hAnsi="Arial"/>
          <w:b w:val="false"/>
          <w:bCs w:val="false"/>
          <w:color w:val="000000"/>
          <w:sz w:val="22"/>
          <w:szCs w:val="22"/>
        </w:rPr>
        <w:t xml:space="preserve">'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FTS request or Rule Engine / Limit Assignment re-run</w:t>
      </w:r>
      <w:r>
        <w:rPr>
          <w:rFonts w:ascii="Arial" w:cs="Arial" w:eastAsia="Arial" w:hAnsi="Arial"/>
          <w:b w:val="false"/>
          <w:bCs w:val="false"/>
          <w:color w:val="6554C0"/>
          <w:sz w:val="22"/>
          <w:szCs w:val="22"/>
        </w:rPr>
        <w:t xml:space="preserve">: the previously captured application data remains unchanged.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val="false"/>
          <w:bCs w:val="false"/>
          <w:color w:val="6554C0"/>
          <w:sz w:val="22"/>
          <w:szCs w:val="22"/>
        </w:rPr>
        <w:t xml:space="preserve">a </w:t>
      </w:r>
      <w:r>
        <w:rPr>
          <w:rFonts w:ascii="Arial" w:cs="Arial" w:eastAsia="Arial" w:hAnsi="Arial"/>
          <w:b/>
          <w:bCs/>
          <w:color w:val="6554C0"/>
          <w:sz w:val="22"/>
          <w:szCs w:val="22"/>
        </w:rPr>
        <w:t xml:space="preserve">single permission with no per-product split</w:t>
      </w:r>
      <w:r>
        <w:rPr>
          <w:rFonts w:ascii="Arial" w:cs="Arial" w:eastAsia="Arial" w:hAnsi="Arial"/>
          <w:b w:val="false"/>
          <w:bCs w:val="false"/>
          <w:color w:val="6554C0"/>
          <w:sz w:val="22"/>
          <w:szCs w:val="22"/>
        </w:rPr>
        <w:t xml:space="preserve">, alongside the existing 'View Application' and 'Cancel Application' permissions and matching their existing product-agnostic layout</w:t>
      </w:r>
      <w:r>
        <w:rPr>
          <w:rFonts w:ascii="Arial" w:cs="Arial" w:eastAsia="Arial" w:hAnsi="Arial"/>
          <w:b w:val="false"/>
          <w:bCs w:val="false"/>
          <w:color w:val="000000"/>
          <w:sz w:val="22"/>
          <w:szCs w:val="22"/>
        </w:rPr>
        <w:t xml:space="preserv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Selectable checkbox to grant or revoke the 'Revert Application' permission. It indicates whether the role holder can request application reverts for the applicable products (CC and PL).</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Descriptive label shown alongside the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w:t>
            </w:r>
            <w:r>
              <w:rPr>
                <w:rFonts w:ascii="Arial" w:cs="Arial" w:eastAsia="Arial" w:hAnsi="Arial"/>
                <w:b w:val="false"/>
                <w:bCs w:val="false"/>
                <w:color w:val="6554C0"/>
                <w:sz w:val="21"/>
                <w:szCs w:val="21"/>
              </w:rPr>
              <w:t xml:space="preserve">for the applicable products</w:t>
            </w:r>
            <w:r>
              <w:rPr>
                <w:rFonts w:ascii="Arial" w:cs="Arial" w:eastAsia="Arial" w:hAnsi="Arial"/>
                <w:b w:val="false"/>
                <w:bCs w:val="false"/>
                <w:color w:val="000000"/>
                <w:sz w:val="21"/>
                <w:szCs w:val="21"/>
              </w:rPr>
              <w:t xml:space="preserve">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w:t>
            </w:r>
            <w:r>
              <w:rPr>
                <w:rFonts w:ascii="Arial" w:cs="Arial" w:eastAsia="Arial" w:hAnsi="Arial"/>
                <w:b w:val="false"/>
                <w:bCs w:val="false"/>
                <w:color w:val="6554C0"/>
                <w:sz w:val="21"/>
                <w:szCs w:val="21"/>
              </w:rPr>
              <w:t xml:space="preserve">Revert Application</w:t>
            </w:r>
            <w:r>
              <w:rPr>
                <w:rFonts w:ascii="Arial" w:cs="Arial" w:eastAsia="Arial" w:hAnsi="Arial"/>
                <w:b w:val="false"/>
                <w:bCs w:val="false"/>
                <w:color w:val="000000"/>
                <w:sz w:val="21"/>
                <w:szCs w:val="21"/>
              </w:rPr>
              <w:t xml:space="preserve">'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 </w:t>
      </w:r>
      <w:r>
        <w:rPr>
          <w:rFonts w:ascii="Arial" w:cs="Arial" w:eastAsia="Arial" w:hAnsi="Arial"/>
          <w:b/>
          <w:bCs/>
          <w:color w:val="6554C0"/>
          <w:sz w:val="22"/>
          <w:szCs w:val="22"/>
        </w:rPr>
        <w:t xml:space="preserve">without a per-product split</w:t>
      </w:r>
      <w:r>
        <w:rPr>
          <w:rFonts w:ascii="Arial" w:cs="Arial" w:eastAsia="Arial" w:hAnsi="Arial"/>
          <w:b w:val="false"/>
          <w:bCs w:val="false"/>
          <w:color w:val="6554C0"/>
          <w:sz w:val="22"/>
          <w:szCs w:val="22"/>
        </w:rPr>
        <w:t xml:space="preserve">: each is a single permission covering all applicable products (CC and PL), consistent with the queue listing all products in one view</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spacing w:after="120" w:before="40" w:line="264"/>
      </w:pPr>
      <w:r>
        <w:rPr>
          <w:rFonts w:ascii="Arial" w:cs="Arial" w:eastAsia="Arial" w:hAnsi="Arial"/>
          <w:b/>
          <w:bCs/>
          <w:color w:val="6554C0"/>
          <w:sz w:val="22"/>
          <w:szCs w:val="22"/>
        </w:rPr>
        <w:t xml:space="preserve">Maker–checker control — self-approval technically prevented:</w:t>
      </w:r>
      <w:r>
        <w:rPr>
          <w:rFonts w:ascii="Arial" w:cs="Arial" w:eastAsia="Arial" w:hAnsi="Arial"/>
          <w:b w:val="false"/>
          <w:bCs w:val="false"/>
          <w:color w:val="6554C0"/>
          <w:sz w:val="22"/>
          <w:szCs w:val="22"/>
        </w:rPr>
        <w:t xml:space="preserve"> the Checker must be a different user from the requester. A user who submitted a revert request cannot approve or reject that same request, even if they hold the Evaluate Application permission — the system blocks the action for the requesting user id.</w:t>
      </w:r>
    </w:p>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spacing w:after="120" w:before="40" w:line="264"/>
      </w:pPr>
      <w:r>
        <w:rPr>
          <w:rFonts w:ascii="Arial" w:cs="Arial" w:eastAsia="Arial" w:hAnsi="Arial"/>
          <w:b w:val="false"/>
          <w:bCs w:val="false"/>
          <w:color w:val="6554C0"/>
          <w:sz w:val="22"/>
          <w:szCs w:val="22"/>
        </w:rPr>
        <w:t xml:space="preserve">Queue ageing, reminders and escalation for the Revert Queue follow the platform-wide </w:t>
      </w:r>
      <w:r>
        <w:rPr>
          <w:rFonts w:ascii="Arial" w:cs="Arial" w:eastAsia="Arial" w:hAnsi="Arial"/>
          <w:b/>
          <w:bCs/>
          <w:color w:val="6554C0"/>
          <w:sz w:val="22"/>
          <w:szCs w:val="22"/>
        </w:rPr>
        <w:t xml:space="preserve">Queue Assignment Management (TAT)</w:t>
      </w:r>
      <w:r>
        <w:rPr>
          <w:rFonts w:ascii="Arial" w:cs="Arial" w:eastAsia="Arial" w:hAnsi="Arial"/>
          <w:b w:val="false"/>
          <w:bCs w:val="false"/>
          <w:color w:val="6554C0"/>
          <w:sz w:val="22"/>
          <w:szCs w:val="22"/>
        </w:rPr>
        <w:t xml:space="preserve"> enhancement currently in delivery — the Revert Queue receives its TAT configuration once that capability lands (configuration, not new build). The [X]-day auto-approval behaviour above remains </w:t>
      </w:r>
      <w:r>
        <w:rPr>
          <w:rFonts w:ascii="Arial" w:cs="Arial" w:eastAsia="Arial" w:hAnsi="Arial"/>
          <w:b/>
          <w:bCs/>
          <w:color w:val="6554C0"/>
          <w:sz w:val="22"/>
          <w:szCs w:val="22"/>
        </w:rPr>
        <w:t xml:space="preserve">subject to Credit/Risk confirmation</w:t>
      </w:r>
      <w:r>
        <w:rPr>
          <w:rFonts w:ascii="Arial" w:cs="Arial" w:eastAsia="Arial" w:hAnsi="Arial"/>
          <w:b w:val="false"/>
          <w:bCs w:val="false"/>
          <w:color w:val="6554C0"/>
          <w:sz w:val="22"/>
          <w:szCs w:val="22"/>
        </w:rPr>
        <w:t xml:space="preserve">; should Credit/Risk prefer no auto-action or an auto-expiry of the request on timeout, this section will be revised accordingly.</w:t>
      </w:r>
    </w:p>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or system re-triggers:</w:t>
      </w:r>
      <w:r>
        <w:rPr>
          <w:rFonts w:ascii="Arial" w:cs="Arial" w:eastAsia="Arial" w:hAnsi="Arial"/>
          <w:b w:val="false"/>
          <w:bCs w:val="false"/>
          <w:color w:val="6554C0"/>
          <w:sz w:val="22"/>
          <w:szCs w:val="22"/>
        </w:rPr>
        <w:t xml:space="preserve"> reverting a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 new FTS request, or a </w:t>
      </w:r>
      <w:r>
        <w:rPr>
          <w:rFonts w:ascii="Arial" w:cs="Arial" w:eastAsia="Arial" w:hAnsi="Arial"/>
          <w:b/>
          <w:bCs/>
          <w:color w:val="6554C0"/>
          <w:sz w:val="22"/>
          <w:szCs w:val="22"/>
        </w:rPr>
        <w:t xml:space="preserve">Rule Engine / Limit Assignment re-run</w:t>
      </w:r>
      <w:r>
        <w:rPr>
          <w:rFonts w:ascii="Arial" w:cs="Arial" w:eastAsia="Arial" w:hAnsi="Arial"/>
          <w:b w:val="false"/>
          <w:bCs w:val="false"/>
          <w:color w:val="6554C0"/>
          <w:sz w:val="22"/>
          <w:szCs w:val="22"/>
        </w:rPr>
        <w:t xml:space="preserve">. The previously captured application data and results remain </w:t>
      </w:r>
      <w:r>
        <w:rPr>
          <w:rFonts w:ascii="Arial" w:cs="Arial" w:eastAsia="Arial" w:hAnsi="Arial"/>
          <w:b/>
          <w:bCs/>
          <w:color w:val="6554C0"/>
          <w:sz w:val="22"/>
          <w:szCs w:val="22"/>
        </w:rPr>
        <w:t xml:space="preserve">unchanged</w:t>
      </w:r>
      <w:r>
        <w:rPr>
          <w:rFonts w:ascii="Arial" w:cs="Arial" w:eastAsia="Arial" w:hAnsi="Arial"/>
          <w:b w:val="false"/>
          <w:bCs w:val="false"/>
          <w:color w:val="6554C0"/>
          <w:sz w:val="22"/>
          <w:szCs w:val="22"/>
        </w:rPr>
        <w:t xml:space="preserve"> when the application is reverted back to Credit Queue — the Credit user reworks the case on the data as it stands. Where the validity of a data item has expired, the refresh approach is agreed with Credit/Risk — no external call is fired automatically by the revert.</w:t>
      </w:r>
    </w:p>
    <w:p>
      <w:pPr>
        <w:pStyle w:val="ListParagraph"/>
        <w:numPr>
          <w:ilvl w:val="0"/>
          <w:numId w:val="1"/>
        </w:numPr>
        <w:spacing w:after="80" w:before="30" w:line="264"/>
      </w:pPr>
      <w:r>
        <w:rPr>
          <w:rFonts w:ascii="Arial" w:cs="Arial" w:eastAsia="Arial" w:hAnsi="Arial"/>
          <w:b/>
          <w:bCs/>
          <w:color w:val="6554C0"/>
          <w:sz w:val="22"/>
          <w:szCs w:val="22"/>
        </w:rPr>
        <w:t xml:space="preserve">Versioning and edit audit:</w:t>
      </w:r>
      <w:r>
        <w:rPr>
          <w:rFonts w:ascii="Arial" w:cs="Arial" w:eastAsia="Arial" w:hAnsi="Arial"/>
          <w:b w:val="false"/>
          <w:bCs w:val="false"/>
          <w:color w:val="6554C0"/>
          <w:sz w:val="22"/>
          <w:szCs w:val="22"/>
        </w:rPr>
        <w:t xml:space="preserve"> where the Credit user’s rework triggers a re-run under the existing Credit Queue behaviour (e.g. a parameter edit), it evaluates against the currently published strategy, score-check and income-multiplier versions, with the applied versions recorded in the audit trail. Parameter edits made in Credit Queue remain audit-trailed under the existing Credit Queue behaviour (before/after values).</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4.8 Exception handling and duplicate prevention</w:t>
      </w:r>
    </w:p>
    <w:p>
      <w:pPr>
        <w:pStyle w:val="ListParagraph"/>
        <w:numPr>
          <w:ilvl w:val="0"/>
          <w:numId w:val="1"/>
        </w:numPr>
        <w:spacing w:after="80" w:before="30" w:line="264"/>
      </w:pPr>
      <w:r>
        <w:rPr>
          <w:rFonts w:ascii="Arial" w:cs="Arial" w:eastAsia="Arial" w:hAnsi="Arial"/>
          <w:b/>
          <w:bCs/>
          <w:color w:val="6554C0"/>
          <w:sz w:val="22"/>
          <w:szCs w:val="22"/>
        </w:rPr>
        <w:t xml:space="preserve">Atomic transitions:</w:t>
      </w:r>
      <w:r>
        <w:rPr>
          <w:rFonts w:ascii="Arial" w:cs="Arial" w:eastAsia="Arial" w:hAnsi="Arial"/>
          <w:b w:val="false"/>
          <w:bCs w:val="false"/>
          <w:color w:val="6554C0"/>
          <w:sz w:val="22"/>
          <w:szCs w:val="22"/>
        </w:rPr>
        <w:t xml:space="preserve"> if any step of a revert action fails — queue movement, status update, Rule Engine / Limit Assignment run or notification — the application remains in its previous consistent state and the action can be safely retried. No application may remain stuck or partially processed between states.</w:t>
      </w:r>
    </w:p>
    <w:p>
      <w:pPr>
        <w:pStyle w:val="ListParagraph"/>
        <w:numPr>
          <w:ilvl w:val="0"/>
          <w:numId w:val="1"/>
        </w:numPr>
        <w:spacing w:after="80" w:before="30" w:line="264"/>
      </w:pPr>
      <w:r>
        <w:rPr>
          <w:rFonts w:ascii="Arial" w:cs="Arial" w:eastAsia="Arial" w:hAnsi="Arial"/>
          <w:b/>
          <w:bCs/>
          <w:color w:val="6554C0"/>
          <w:sz w:val="22"/>
          <w:szCs w:val="22"/>
        </w:rPr>
        <w:t xml:space="preserve">Duplicate and concurrent actions prevented:</w:t>
      </w:r>
      <w:r>
        <w:rPr>
          <w:rFonts w:ascii="Arial" w:cs="Arial" w:eastAsia="Arial" w:hAnsi="Arial"/>
          <w:b w:val="false"/>
          <w:bCs w:val="false"/>
          <w:color w:val="6554C0"/>
          <w:sz w:val="22"/>
          <w:szCs w:val="22"/>
        </w:rPr>
        <w:t xml:space="preserve"> a single pending revert request per application is enforced (Revert_App flag — the Revert button is disabled while a request is pending), and a request that has already been decided cannot be decided again. The detailed retry / rollback design is elaborated in the technical design document for this feature.</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spacing w:after="120" w:before="40" w:line="264"/>
      </w:pPr>
      <w:r>
        <w:rPr>
          <w:rFonts w:ascii="Arial" w:cs="Arial" w:eastAsia="Arial" w:hAnsi="Arial"/>
          <w:b/>
          <w:bCs/>
          <w:color w:val="6554C0"/>
          <w:sz w:val="22"/>
          <w:szCs w:val="22"/>
        </w:rPr>
        <w:t xml:space="preserve">No re-triggers on revert.</w:t>
      </w:r>
      <w:r>
        <w:rPr>
          <w:rFonts w:ascii="Arial" w:cs="Arial" w:eastAsia="Arial" w:hAnsi="Arial"/>
          <w:b w:val="false"/>
          <w:bCs w:val="false"/>
          <w:color w:val="6554C0"/>
          <w:sz w:val="22"/>
          <w:szCs w:val="22"/>
        </w:rPr>
        <w:t xml:space="preserve"> An approved revert returns the application to Credit Queue with its previously captured data and results unchanged — no AECB enquiry, FTS request or Rule Engine / Limit Assignment run is fired by the revert (section 4.6).</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6554C0"/>
          <w:sz w:val="22"/>
          <w:szCs w:val="22"/>
        </w:rPr>
        <w:t xml:space="preserve">Disclosures on the reopened journey:</w:t>
      </w:r>
      <w:r>
        <w:rPr>
          <w:rFonts w:ascii="Arial" w:cs="Arial" w:eastAsia="Arial" w:hAnsi="Arial"/>
          <w:b w:val="false"/>
          <w:bCs w:val="false"/>
          <w:color w:val="6554C0"/>
          <w:sz w:val="22"/>
          <w:szCs w:val="22"/>
        </w:rPr>
        <w:t xml:space="preserve"> after an approved re-assessment, the application proceeds through the </w:t>
      </w:r>
      <w:r>
        <w:rPr>
          <w:rFonts w:ascii="Arial" w:cs="Arial" w:eastAsia="Arial" w:hAnsi="Arial"/>
          <w:b/>
          <w:bCs/>
          <w:color w:val="6554C0"/>
          <w:sz w:val="22"/>
          <w:szCs w:val="22"/>
        </w:rPr>
        <w:t xml:space="preserve">standard offer and acceptance journey</w:t>
      </w:r>
      <w:r>
        <w:rPr>
          <w:rFonts w:ascii="Arial" w:cs="Arial" w:eastAsia="Arial" w:hAnsi="Arial"/>
          <w:b w:val="false"/>
          <w:bCs w:val="false"/>
          <w:color w:val="6554C0"/>
          <w:sz w:val="22"/>
          <w:szCs w:val="22"/>
        </w:rPr>
        <w:t xml:space="preserve"> — AIP, cooling-off and KFS/DDA signature stages are generated afresh by the existing flow, so every disclosure the customer receives reflects the final approved terms (no change to existing KFS behaviour).</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AECB enquiry, FTS request or Rule Engine / Limit Assignment re-run is triggered by the revert; the previously captured data remains unchanged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Three new permission entries — 'Revert Application' (Enquiry &gt; Application Enquiry), plus 'View Application' and 'Evaluate Application' on the Revert Queue (Manually Queue). All three are product-agnostic: a single permission each across CC and PL, matching the existing permission layout.</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 (Report Enquiry)</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6554C0"/>
                <w:sz w:val="21"/>
                <w:szCs w:val="21"/>
              </w:rPr>
              <w:t xml:space="preserve">Covered by the existing Report Enquiry module.</w:t>
            </w:r>
            <w:r>
              <w:rPr>
                <w:rFonts w:ascii="Arial" w:cs="Arial" w:eastAsia="Arial" w:hAnsi="Arial"/>
                <w:b w:val="false"/>
                <w:bCs w:val="false"/>
                <w:color w:val="6554C0"/>
                <w:sz w:val="21"/>
                <w:szCs w:val="21"/>
              </w:rPr>
              <w:t xml:space="preserve"> Within this scope, the existing </w:t>
            </w:r>
            <w:r>
              <w:rPr>
                <w:rFonts w:ascii="Arial" w:cs="Arial" w:eastAsia="Arial" w:hAnsi="Arial"/>
                <w:b/>
                <w:bCs/>
                <w:color w:val="6554C0"/>
                <w:sz w:val="21"/>
                <w:szCs w:val="21"/>
              </w:rPr>
              <w:t xml:space="preserve">Approved Transactions</w:t>
            </w:r>
            <w:r>
              <w:rPr>
                <w:rFonts w:ascii="Arial" w:cs="Arial" w:eastAsia="Arial" w:hAnsi="Arial"/>
                <w:b w:val="false"/>
                <w:bCs w:val="false"/>
                <w:color w:val="6554C0"/>
                <w:sz w:val="21"/>
                <w:szCs w:val="21"/>
              </w:rPr>
              <w:t xml:space="preserve"> report gains the revert fields: </w:t>
            </w:r>
            <w:r>
              <w:rPr>
                <w:rFonts w:ascii="Arial" w:cs="Arial" w:eastAsia="Arial" w:hAnsi="Arial"/>
                <w:b/>
                <w:bCs/>
                <w:color w:val="6554C0"/>
                <w:sz w:val="21"/>
                <w:szCs w:val="21"/>
              </w:rPr>
              <w:t xml:space="preserve">Revert Reason</w:t>
            </w:r>
            <w:r>
              <w:rPr>
                <w:rFonts w:ascii="Arial" w:cs="Arial" w:eastAsia="Arial" w:hAnsi="Arial"/>
                <w:b w:val="false"/>
                <w:bCs w:val="false"/>
                <w:color w:val="6554C0"/>
                <w:sz w:val="21"/>
                <w:szCs w:val="21"/>
              </w:rPr>
              <w:t xml:space="preserve">, </w:t>
            </w:r>
            <w:r>
              <w:rPr>
                <w:rFonts w:ascii="Arial" w:cs="Arial" w:eastAsia="Arial" w:hAnsi="Arial"/>
                <w:b/>
                <w:bCs/>
                <w:color w:val="6554C0"/>
                <w:sz w:val="21"/>
                <w:szCs w:val="21"/>
              </w:rPr>
              <w:t xml:space="preserve">Repeated Reverts</w:t>
            </w:r>
            <w:r>
              <w:rPr>
                <w:rFonts w:ascii="Arial" w:cs="Arial" w:eastAsia="Arial" w:hAnsi="Arial"/>
                <w:b w:val="false"/>
                <w:bCs w:val="false"/>
                <w:color w:val="6554C0"/>
                <w:sz w:val="21"/>
                <w:szCs w:val="21"/>
              </w:rPr>
              <w:t xml:space="preserve"> (number of revert cycles) and </w:t>
            </w:r>
            <w:r>
              <w:rPr>
                <w:rFonts w:ascii="Arial" w:cs="Arial" w:eastAsia="Arial" w:hAnsi="Arial"/>
                <w:b/>
                <w:bCs/>
                <w:color w:val="6554C0"/>
                <w:sz w:val="21"/>
                <w:szCs w:val="21"/>
              </w:rPr>
              <w:t xml:space="preserve">Updated (latest) Rejection Reason</w:t>
            </w:r>
            <w:r>
              <w:rPr>
                <w:rFonts w:ascii="Arial" w:cs="Arial" w:eastAsia="Arial" w:hAnsi="Arial"/>
                <w:b w:val="false"/>
                <w:bCs w:val="false"/>
                <w:color w:val="6554C0"/>
                <w:sz w:val="21"/>
                <w:szCs w:val="21"/>
              </w:rPr>
              <w:t xml:space="preserve">. Exceptions are already served by the existing Exception Report. Root-cause trend analysis is performed by the team from the report data — it is not a system output. SLA achievement / turnaround time reporting is not part of this feature — it follows later with the Queue Assignment product upgrade. Reopened cases must remain consistent in the existing reports (no double-counting in E2E).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4859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Report Enquiry › Report Type — Approved Transactions</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55d1cfc66efdae2eb372c7acc4dea8fdf40b1f72.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02411cc6583bc4aa5b9f21964c185899ff246beb.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image" Target="media/e1e9479eecd31f415153a080b6ac30810c61dba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2026-10-06T10:55:16.034Z</dcterms:created>
  <dcterms:modified xsi:type="dcterms:W3CDTF">2026-10-06T10:55:16.041Z</dcterms:modified>
</cp:coreProperties>
</file>

<file path=docProps/custom.xml><?xml version="1.0" encoding="utf-8"?>
<Properties xmlns="http://schemas.openxmlformats.org/officeDocument/2006/custom-properties" xmlns:vt="http://schemas.openxmlformats.org/officeDocument/2006/docPropsVTypes"/>
</file>